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271" w:rsidRPr="00B67AF6" w:rsidRDefault="00166271" w:rsidP="00DE52C6">
      <w:pPr>
        <w:pBdr>
          <w:bottom w:val="single" w:sz="4" w:space="1" w:color="auto"/>
        </w:pBdr>
        <w:jc w:val="both"/>
        <w:rPr>
          <w:b/>
          <w:sz w:val="28"/>
          <w:szCs w:val="28"/>
        </w:rPr>
      </w:pPr>
      <w:r w:rsidRPr="00B67AF6">
        <w:rPr>
          <w:noProof/>
          <w:lang w:eastAsia="bg-BG"/>
        </w:rPr>
        <w:drawing>
          <wp:anchor distT="0" distB="0" distL="114300" distR="114300" simplePos="0" relativeHeight="251659264" behindDoc="0" locked="0" layoutInCell="1" allowOverlap="1" wp14:anchorId="3E03B734" wp14:editId="2F981817">
            <wp:simplePos x="0" y="0"/>
            <wp:positionH relativeFrom="column">
              <wp:posOffset>3792474</wp:posOffset>
            </wp:positionH>
            <wp:positionV relativeFrom="paragraph">
              <wp:posOffset>23826</wp:posOffset>
            </wp:positionV>
            <wp:extent cx="2162810" cy="747395"/>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2810" cy="747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7AF6">
        <w:rPr>
          <w:noProof/>
          <w:lang w:eastAsia="bg-BG"/>
        </w:rPr>
        <w:drawing>
          <wp:inline distT="0" distB="0" distL="0" distR="0" wp14:anchorId="78E0E7CB" wp14:editId="672954D9">
            <wp:extent cx="2209800" cy="769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09800" cy="769620"/>
                    </a:xfrm>
                    <a:prstGeom prst="rect">
                      <a:avLst/>
                    </a:prstGeom>
                    <a:noFill/>
                    <a:ln>
                      <a:noFill/>
                    </a:ln>
                  </pic:spPr>
                </pic:pic>
              </a:graphicData>
            </a:graphic>
          </wp:inline>
        </w:drawing>
      </w:r>
    </w:p>
    <w:p w:rsidR="00166271" w:rsidRPr="00B67AF6" w:rsidRDefault="00166271" w:rsidP="00DE52C6">
      <w:pPr>
        <w:spacing w:after="0" w:line="240" w:lineRule="auto"/>
        <w:ind w:left="284" w:right="27"/>
        <w:jc w:val="both"/>
        <w:rPr>
          <w:rFonts w:ascii="Times New Roman" w:hAnsi="Times New Roman"/>
          <w:b/>
          <w:bCs/>
          <w:sz w:val="24"/>
          <w:szCs w:val="24"/>
        </w:rPr>
      </w:pPr>
    </w:p>
    <w:p w:rsidR="00166271" w:rsidRPr="00B67AF6" w:rsidRDefault="00166271" w:rsidP="00DE52C6">
      <w:pPr>
        <w:spacing w:before="120" w:after="120" w:line="360" w:lineRule="auto"/>
        <w:jc w:val="center"/>
        <w:rPr>
          <w:rFonts w:ascii="Times New Roman" w:hAnsi="Times New Roman"/>
          <w:b/>
          <w:sz w:val="28"/>
          <w:szCs w:val="28"/>
        </w:rPr>
      </w:pPr>
      <w:r w:rsidRPr="00B67AF6">
        <w:rPr>
          <w:rFonts w:ascii="Times New Roman" w:hAnsi="Times New Roman"/>
          <w:b/>
          <w:sz w:val="28"/>
          <w:szCs w:val="28"/>
        </w:rPr>
        <w:t>О Б О С Н О В К А</w:t>
      </w:r>
    </w:p>
    <w:p w:rsidR="00166271" w:rsidRPr="00B67AF6" w:rsidRDefault="00166271" w:rsidP="00DE52C6">
      <w:pPr>
        <w:spacing w:before="240" w:line="360" w:lineRule="auto"/>
        <w:ind w:left="709"/>
        <w:jc w:val="both"/>
        <w:rPr>
          <w:rFonts w:ascii="Times New Roman" w:hAnsi="Times New Roman"/>
          <w:b/>
          <w:i/>
          <w:sz w:val="24"/>
          <w:szCs w:val="24"/>
        </w:rPr>
      </w:pPr>
      <w:r w:rsidRPr="00B67AF6">
        <w:rPr>
          <w:rFonts w:ascii="Times New Roman" w:hAnsi="Times New Roman"/>
          <w:b/>
          <w:i/>
          <w:sz w:val="24"/>
          <w:szCs w:val="24"/>
        </w:rPr>
        <w:t>Относно:</w:t>
      </w:r>
      <w:r w:rsidR="00353662" w:rsidRPr="00B67AF6">
        <w:rPr>
          <w:rFonts w:ascii="Times New Roman" w:hAnsi="Times New Roman"/>
          <w:b/>
          <w:i/>
          <w:sz w:val="24"/>
          <w:szCs w:val="24"/>
        </w:rPr>
        <w:t xml:space="preserve"> </w:t>
      </w:r>
      <w:r w:rsidRPr="00B67AF6">
        <w:rPr>
          <w:rFonts w:ascii="Times New Roman" w:hAnsi="Times New Roman"/>
          <w:i/>
          <w:sz w:val="24"/>
          <w:szCs w:val="24"/>
        </w:rPr>
        <w:t xml:space="preserve">Предложение за изменение на </w:t>
      </w:r>
      <w:r w:rsidR="00353662" w:rsidRPr="00B67AF6">
        <w:rPr>
          <w:rFonts w:ascii="Times New Roman" w:hAnsi="Times New Roman"/>
          <w:i/>
          <w:sz w:val="24"/>
          <w:szCs w:val="24"/>
        </w:rPr>
        <w:t xml:space="preserve">критерии за </w:t>
      </w:r>
      <w:r w:rsidR="004A66FD" w:rsidRPr="00B67AF6">
        <w:rPr>
          <w:rFonts w:ascii="Times New Roman" w:hAnsi="Times New Roman"/>
          <w:i/>
          <w:sz w:val="24"/>
          <w:szCs w:val="24"/>
        </w:rPr>
        <w:t xml:space="preserve">подбор на операции </w:t>
      </w:r>
      <w:r w:rsidR="00353662" w:rsidRPr="00B67AF6">
        <w:rPr>
          <w:rFonts w:ascii="Times New Roman" w:hAnsi="Times New Roman"/>
          <w:i/>
          <w:sz w:val="24"/>
          <w:szCs w:val="24"/>
        </w:rPr>
        <w:t xml:space="preserve">по </w:t>
      </w:r>
      <w:r w:rsidR="004A66FD" w:rsidRPr="00B67AF6">
        <w:rPr>
          <w:rFonts w:ascii="Times New Roman" w:hAnsi="Times New Roman"/>
          <w:i/>
          <w:sz w:val="24"/>
          <w:szCs w:val="24"/>
        </w:rPr>
        <w:t>процедура BG16RFOP001-1.001-039 „Изпълнение на Интегрирани планове за градско възстановяване и развитие 2014-2020“ по Приоритетна ос 1 „Устойчиво и интегрирано градско развитие на ОП „Региони в растеж“ 2014-2020</w:t>
      </w:r>
    </w:p>
    <w:p w:rsidR="00353662" w:rsidRPr="00B67AF6" w:rsidRDefault="00353662" w:rsidP="00DE52C6">
      <w:pPr>
        <w:tabs>
          <w:tab w:val="num" w:pos="720"/>
        </w:tabs>
        <w:spacing w:after="0" w:line="360" w:lineRule="auto"/>
        <w:jc w:val="both"/>
        <w:rPr>
          <w:rFonts w:ascii="Times New Roman" w:eastAsia="Times New Roman" w:hAnsi="Times New Roman"/>
          <w:bCs/>
          <w:sz w:val="24"/>
          <w:szCs w:val="24"/>
          <w:lang w:eastAsia="bg-BG"/>
        </w:rPr>
      </w:pPr>
    </w:p>
    <w:p w:rsidR="003D0D29" w:rsidRPr="00B67AF6" w:rsidRDefault="00353662" w:rsidP="00DE52C6">
      <w:pPr>
        <w:tabs>
          <w:tab w:val="num" w:pos="720"/>
        </w:tabs>
        <w:spacing w:before="120" w:after="120" w:line="360" w:lineRule="auto"/>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ab/>
      </w:r>
      <w:r w:rsidR="006166C6" w:rsidRPr="00B67AF6">
        <w:rPr>
          <w:rFonts w:ascii="Times New Roman" w:eastAsia="Times New Roman" w:hAnsi="Times New Roman"/>
          <w:bCs/>
          <w:sz w:val="24"/>
          <w:szCs w:val="24"/>
          <w:lang w:eastAsia="bg-BG"/>
        </w:rPr>
        <w:t>Приоритетна ос 1 „Устойчиво и интегрирано градско развитие“</w:t>
      </w:r>
      <w:r w:rsidR="00646B2F" w:rsidRPr="00B67AF6">
        <w:rPr>
          <w:rFonts w:ascii="Times New Roman" w:eastAsia="Times New Roman" w:hAnsi="Times New Roman"/>
          <w:bCs/>
          <w:sz w:val="24"/>
          <w:szCs w:val="24"/>
          <w:lang w:eastAsia="bg-BG"/>
        </w:rPr>
        <w:t xml:space="preserve"> (ПО1)</w:t>
      </w:r>
      <w:r w:rsidR="006166C6" w:rsidRPr="00B67AF6">
        <w:rPr>
          <w:rFonts w:ascii="Times New Roman" w:eastAsia="Times New Roman" w:hAnsi="Times New Roman"/>
          <w:bCs/>
          <w:sz w:val="24"/>
          <w:szCs w:val="24"/>
          <w:lang w:eastAsia="bg-BG"/>
        </w:rPr>
        <w:t xml:space="preserve"> на Оперативна програма „Региони в растеж“ (ОПРР) 2014-2020</w:t>
      </w:r>
      <w:r w:rsidR="002036FB" w:rsidRPr="00B67AF6">
        <w:rPr>
          <w:rFonts w:ascii="Times New Roman" w:eastAsia="Times New Roman" w:hAnsi="Times New Roman"/>
          <w:bCs/>
          <w:sz w:val="24"/>
          <w:szCs w:val="24"/>
          <w:lang w:eastAsia="bg-BG"/>
        </w:rPr>
        <w:t xml:space="preserve"> е с общ бюджет от над </w:t>
      </w:r>
      <w:r w:rsidR="002036FB" w:rsidRPr="00B67AF6">
        <w:rPr>
          <w:rFonts w:ascii="Times New Roman" w:eastAsia="Times New Roman" w:hAnsi="Times New Roman"/>
          <w:b/>
          <w:bCs/>
          <w:sz w:val="24"/>
          <w:szCs w:val="24"/>
          <w:lang w:eastAsia="bg-BG"/>
        </w:rPr>
        <w:t>1,6</w:t>
      </w:r>
      <w:r w:rsidR="00574ACA" w:rsidRPr="00B67AF6">
        <w:rPr>
          <w:rFonts w:ascii="Times New Roman" w:eastAsia="Times New Roman" w:hAnsi="Times New Roman"/>
          <w:b/>
          <w:bCs/>
          <w:sz w:val="24"/>
          <w:szCs w:val="24"/>
          <w:lang w:eastAsia="bg-BG"/>
        </w:rPr>
        <w:t>44</w:t>
      </w:r>
      <w:r w:rsidR="002036FB" w:rsidRPr="00B67AF6">
        <w:rPr>
          <w:rFonts w:ascii="Times New Roman" w:eastAsia="Times New Roman" w:hAnsi="Times New Roman"/>
          <w:b/>
          <w:bCs/>
          <w:sz w:val="24"/>
          <w:szCs w:val="24"/>
          <w:lang w:eastAsia="bg-BG"/>
        </w:rPr>
        <w:t xml:space="preserve"> млрд. лв.</w:t>
      </w:r>
      <w:r w:rsidR="002036FB" w:rsidRPr="00B67AF6">
        <w:rPr>
          <w:rFonts w:ascii="Times New Roman" w:eastAsia="Times New Roman" w:hAnsi="Times New Roman"/>
          <w:bCs/>
          <w:sz w:val="24"/>
          <w:szCs w:val="24"/>
          <w:lang w:eastAsia="bg-BG"/>
        </w:rPr>
        <w:t xml:space="preserve"> или над </w:t>
      </w:r>
      <w:r w:rsidR="002036FB" w:rsidRPr="00B67AF6">
        <w:rPr>
          <w:rFonts w:ascii="Times New Roman" w:eastAsia="Times New Roman" w:hAnsi="Times New Roman"/>
          <w:b/>
          <w:bCs/>
          <w:sz w:val="24"/>
          <w:szCs w:val="24"/>
          <w:lang w:eastAsia="bg-BG"/>
        </w:rPr>
        <w:t>54%</w:t>
      </w:r>
      <w:r w:rsidR="002036FB" w:rsidRPr="00B67AF6">
        <w:rPr>
          <w:rFonts w:ascii="Times New Roman" w:eastAsia="Times New Roman" w:hAnsi="Times New Roman"/>
          <w:bCs/>
          <w:sz w:val="24"/>
          <w:szCs w:val="24"/>
          <w:lang w:eastAsia="bg-BG"/>
        </w:rPr>
        <w:t xml:space="preserve"> от общия бюджет на програмата. </w:t>
      </w:r>
    </w:p>
    <w:p w:rsidR="00E8649F" w:rsidRPr="00B67AF6" w:rsidRDefault="003D0D29" w:rsidP="00DE52C6">
      <w:pPr>
        <w:tabs>
          <w:tab w:val="num" w:pos="720"/>
        </w:tabs>
        <w:spacing w:before="120" w:after="120" w:line="360" w:lineRule="auto"/>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ab/>
      </w:r>
      <w:r w:rsidR="009E3AE8" w:rsidRPr="00B67AF6">
        <w:rPr>
          <w:rFonts w:ascii="Times New Roman" w:eastAsia="Times New Roman" w:hAnsi="Times New Roman"/>
          <w:bCs/>
          <w:sz w:val="24"/>
          <w:szCs w:val="24"/>
          <w:lang w:eastAsia="bg-BG"/>
        </w:rPr>
        <w:t xml:space="preserve">Към </w:t>
      </w:r>
      <w:r w:rsidRPr="00B67AF6">
        <w:rPr>
          <w:rFonts w:ascii="Times New Roman" w:eastAsia="Times New Roman" w:hAnsi="Times New Roman"/>
          <w:bCs/>
          <w:sz w:val="24"/>
          <w:szCs w:val="24"/>
          <w:lang w:eastAsia="bg-BG"/>
        </w:rPr>
        <w:t xml:space="preserve">края на 2017 г. е достигнат ключов етап от изпълнението на </w:t>
      </w:r>
      <w:r w:rsidR="009E3AE8" w:rsidRPr="00B67AF6">
        <w:rPr>
          <w:rFonts w:ascii="Times New Roman" w:eastAsia="Times New Roman" w:hAnsi="Times New Roman"/>
          <w:bCs/>
          <w:sz w:val="24"/>
          <w:szCs w:val="24"/>
          <w:lang w:eastAsia="bg-BG"/>
        </w:rPr>
        <w:t xml:space="preserve">приоритетната ос като са договорени средства над </w:t>
      </w:r>
      <w:r w:rsidR="009E3AE8" w:rsidRPr="00B67AF6">
        <w:rPr>
          <w:rFonts w:ascii="Times New Roman" w:eastAsia="Times New Roman" w:hAnsi="Times New Roman"/>
          <w:b/>
          <w:bCs/>
          <w:sz w:val="24"/>
          <w:szCs w:val="24"/>
          <w:lang w:eastAsia="bg-BG"/>
        </w:rPr>
        <w:t>1 млрд. лв.</w:t>
      </w:r>
      <w:r w:rsidR="009E3AE8" w:rsidRPr="00B67AF6">
        <w:rPr>
          <w:rFonts w:ascii="Times New Roman" w:eastAsia="Times New Roman" w:hAnsi="Times New Roman"/>
          <w:bCs/>
          <w:sz w:val="24"/>
          <w:szCs w:val="24"/>
          <w:lang w:eastAsia="bg-BG"/>
        </w:rPr>
        <w:t xml:space="preserve"> или </w:t>
      </w:r>
      <w:r w:rsidR="009E3AE8" w:rsidRPr="00B67AF6">
        <w:rPr>
          <w:rFonts w:ascii="Times New Roman" w:eastAsia="Times New Roman" w:hAnsi="Times New Roman"/>
          <w:b/>
          <w:bCs/>
          <w:sz w:val="24"/>
          <w:szCs w:val="24"/>
          <w:lang w:eastAsia="bg-BG"/>
        </w:rPr>
        <w:t>61%</w:t>
      </w:r>
      <w:r w:rsidR="009E3AE8" w:rsidRPr="00B67AF6">
        <w:rPr>
          <w:rFonts w:ascii="Times New Roman" w:eastAsia="Times New Roman" w:hAnsi="Times New Roman"/>
          <w:bCs/>
          <w:sz w:val="24"/>
          <w:szCs w:val="24"/>
          <w:lang w:eastAsia="bg-BG"/>
        </w:rPr>
        <w:t xml:space="preserve"> от бюджета на програмата.</w:t>
      </w:r>
      <w:r w:rsidR="00D87E19" w:rsidRPr="00B67AF6">
        <w:rPr>
          <w:rFonts w:ascii="Times New Roman" w:eastAsia="Times New Roman" w:hAnsi="Times New Roman"/>
          <w:bCs/>
          <w:sz w:val="24"/>
          <w:szCs w:val="24"/>
          <w:lang w:eastAsia="bg-BG"/>
        </w:rPr>
        <w:t xml:space="preserve"> </w:t>
      </w:r>
      <w:r w:rsidR="00574ACA" w:rsidRPr="00B67AF6">
        <w:rPr>
          <w:rFonts w:ascii="Times New Roman" w:eastAsia="Times New Roman" w:hAnsi="Times New Roman"/>
          <w:bCs/>
          <w:sz w:val="24"/>
          <w:szCs w:val="24"/>
          <w:lang w:eastAsia="bg-BG"/>
        </w:rPr>
        <w:t xml:space="preserve">Платените средства по ПО 1 са над </w:t>
      </w:r>
      <w:r w:rsidR="00574ACA" w:rsidRPr="00B67AF6">
        <w:rPr>
          <w:rFonts w:ascii="Times New Roman" w:eastAsia="Times New Roman" w:hAnsi="Times New Roman"/>
          <w:b/>
          <w:bCs/>
          <w:sz w:val="24"/>
          <w:szCs w:val="24"/>
          <w:lang w:eastAsia="bg-BG"/>
        </w:rPr>
        <w:t>222 млн. лв.</w:t>
      </w:r>
      <w:r w:rsidR="00574ACA" w:rsidRPr="00B67AF6">
        <w:rPr>
          <w:rFonts w:ascii="Times New Roman" w:eastAsia="Times New Roman" w:hAnsi="Times New Roman"/>
          <w:bCs/>
          <w:sz w:val="24"/>
          <w:szCs w:val="24"/>
          <w:lang w:eastAsia="bg-BG"/>
        </w:rPr>
        <w:t xml:space="preserve"> или </w:t>
      </w:r>
      <w:r w:rsidR="00574ACA" w:rsidRPr="00B67AF6">
        <w:rPr>
          <w:rFonts w:ascii="Times New Roman" w:eastAsia="Times New Roman" w:hAnsi="Times New Roman"/>
          <w:b/>
          <w:bCs/>
          <w:sz w:val="24"/>
          <w:szCs w:val="24"/>
          <w:lang w:eastAsia="bg-BG"/>
        </w:rPr>
        <w:t>14%</w:t>
      </w:r>
      <w:r w:rsidR="00574ACA" w:rsidRPr="00B67AF6">
        <w:rPr>
          <w:rFonts w:ascii="Times New Roman" w:eastAsia="Times New Roman" w:hAnsi="Times New Roman"/>
          <w:bCs/>
          <w:sz w:val="24"/>
          <w:szCs w:val="24"/>
          <w:lang w:eastAsia="bg-BG"/>
        </w:rPr>
        <w:t xml:space="preserve"> от бюджета на оста.</w:t>
      </w:r>
    </w:p>
    <w:p w:rsidR="00D87E19" w:rsidRPr="00B67AF6" w:rsidRDefault="00D87E19" w:rsidP="00DE52C6">
      <w:pPr>
        <w:tabs>
          <w:tab w:val="num" w:pos="720"/>
        </w:tabs>
        <w:spacing w:before="120" w:after="120" w:line="360" w:lineRule="auto"/>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ab/>
        <w:t>През новия програмен период са предвидени превантивни одити от страна на Европейската комисия, които в случай на необходимост биха могли да дадат възможност за адаптиране на системите за избор и изпълнение на проектите.</w:t>
      </w:r>
    </w:p>
    <w:p w:rsidR="001B4A00" w:rsidRPr="00B67AF6" w:rsidRDefault="001B4A00" w:rsidP="00DE52C6">
      <w:pPr>
        <w:tabs>
          <w:tab w:val="num" w:pos="720"/>
        </w:tabs>
        <w:spacing w:before="120" w:after="120" w:line="360" w:lineRule="auto"/>
        <w:jc w:val="both"/>
        <w:rPr>
          <w:rFonts w:ascii="Times New Roman" w:eastAsia="Times New Roman" w:hAnsi="Times New Roman"/>
          <w:bCs/>
          <w:iCs/>
          <w:sz w:val="24"/>
          <w:szCs w:val="24"/>
          <w:lang w:eastAsia="bg-BG" w:bidi="bg-BG"/>
        </w:rPr>
      </w:pPr>
      <w:r w:rsidRPr="00B67AF6">
        <w:rPr>
          <w:rFonts w:ascii="Times New Roman" w:eastAsia="Times New Roman" w:hAnsi="Times New Roman"/>
          <w:bCs/>
          <w:sz w:val="24"/>
          <w:szCs w:val="24"/>
          <w:lang w:eastAsia="bg-BG"/>
        </w:rPr>
        <w:tab/>
        <w:t>В тази връзка са и п</w:t>
      </w:r>
      <w:r w:rsidR="006123E2" w:rsidRPr="00B67AF6">
        <w:rPr>
          <w:rFonts w:ascii="Times New Roman" w:eastAsia="Times New Roman" w:hAnsi="Times New Roman"/>
          <w:bCs/>
          <w:sz w:val="24"/>
          <w:szCs w:val="24"/>
          <w:lang w:eastAsia="bg-BG"/>
        </w:rPr>
        <w:t xml:space="preserve">редложените промени в критериите за оценка на проектни предложения по </w:t>
      </w:r>
      <w:r w:rsidR="00646B2F" w:rsidRPr="00B67AF6">
        <w:rPr>
          <w:rFonts w:ascii="Times New Roman" w:eastAsia="Times New Roman" w:hAnsi="Times New Roman"/>
          <w:bCs/>
          <w:sz w:val="24"/>
          <w:szCs w:val="24"/>
          <w:lang w:eastAsia="bg-BG"/>
        </w:rPr>
        <w:t>ПО 1</w:t>
      </w:r>
      <w:r w:rsidR="006123E2" w:rsidRPr="00B67AF6">
        <w:rPr>
          <w:rFonts w:ascii="Times New Roman" w:eastAsia="Times New Roman" w:hAnsi="Times New Roman"/>
          <w:bCs/>
          <w:sz w:val="24"/>
          <w:szCs w:val="24"/>
          <w:lang w:eastAsia="bg-BG"/>
        </w:rPr>
        <w:t xml:space="preserve"> на ОПРР 2014-2020</w:t>
      </w:r>
      <w:r w:rsidRPr="00B67AF6">
        <w:rPr>
          <w:rFonts w:ascii="Times New Roman" w:eastAsia="Times New Roman" w:hAnsi="Times New Roman"/>
          <w:bCs/>
          <w:sz w:val="24"/>
          <w:szCs w:val="24"/>
          <w:lang w:eastAsia="bg-BG"/>
        </w:rPr>
        <w:t>, които</w:t>
      </w:r>
      <w:r w:rsidR="006123E2" w:rsidRPr="00B67AF6">
        <w:rPr>
          <w:rFonts w:ascii="Times New Roman" w:eastAsia="Times New Roman" w:hAnsi="Times New Roman"/>
          <w:bCs/>
          <w:sz w:val="24"/>
          <w:szCs w:val="24"/>
          <w:lang w:eastAsia="bg-BG"/>
        </w:rPr>
        <w:t xml:space="preserve"> са </w:t>
      </w:r>
      <w:r w:rsidR="006642A8" w:rsidRPr="00B67AF6">
        <w:rPr>
          <w:rFonts w:ascii="Times New Roman" w:eastAsia="Times New Roman" w:hAnsi="Times New Roman"/>
          <w:bCs/>
          <w:sz w:val="24"/>
          <w:szCs w:val="24"/>
          <w:lang w:eastAsia="bg-BG"/>
        </w:rPr>
        <w:t xml:space="preserve">свързани с </w:t>
      </w:r>
      <w:r w:rsidR="006642A8" w:rsidRPr="00B67AF6">
        <w:rPr>
          <w:rFonts w:ascii="Times New Roman" w:eastAsia="Times New Roman" w:hAnsi="Times New Roman"/>
          <w:bCs/>
          <w:iCs/>
          <w:sz w:val="24"/>
          <w:szCs w:val="24"/>
          <w:lang w:eastAsia="bg-BG" w:bidi="bg-BG"/>
        </w:rPr>
        <w:t xml:space="preserve">получени предварителни одитни констатации от ранен превантивен системен одит на </w:t>
      </w:r>
      <w:r w:rsidR="00094B96" w:rsidRPr="00B67AF6">
        <w:rPr>
          <w:rFonts w:ascii="Times New Roman" w:eastAsia="Times New Roman" w:hAnsi="Times New Roman"/>
          <w:bCs/>
          <w:iCs/>
          <w:sz w:val="24"/>
          <w:szCs w:val="24"/>
          <w:lang w:eastAsia="bg-BG" w:bidi="bg-BG"/>
        </w:rPr>
        <w:t xml:space="preserve">изпълнението на приоритетна ос 1 на </w:t>
      </w:r>
      <w:r w:rsidR="006642A8" w:rsidRPr="00B67AF6">
        <w:rPr>
          <w:rFonts w:ascii="Times New Roman" w:eastAsia="Times New Roman" w:hAnsi="Times New Roman"/>
          <w:bCs/>
          <w:iCs/>
          <w:sz w:val="24"/>
          <w:szCs w:val="24"/>
          <w:lang w:eastAsia="bg-BG" w:bidi="bg-BG"/>
        </w:rPr>
        <w:t>ОПРР</w:t>
      </w:r>
      <w:r w:rsidR="00094B96" w:rsidRPr="00B67AF6">
        <w:rPr>
          <w:rFonts w:ascii="Times New Roman" w:eastAsia="Times New Roman" w:hAnsi="Times New Roman"/>
          <w:bCs/>
          <w:iCs/>
          <w:sz w:val="24"/>
          <w:szCs w:val="24"/>
          <w:lang w:eastAsia="bg-BG" w:bidi="bg-BG"/>
        </w:rPr>
        <w:t xml:space="preserve"> 2014-2020</w:t>
      </w:r>
      <w:r w:rsidR="006642A8" w:rsidRPr="00B67AF6">
        <w:rPr>
          <w:rFonts w:ascii="Times New Roman" w:eastAsia="Times New Roman" w:hAnsi="Times New Roman"/>
          <w:bCs/>
          <w:iCs/>
          <w:sz w:val="24"/>
          <w:szCs w:val="24"/>
          <w:lang w:eastAsia="bg-BG" w:bidi="bg-BG"/>
        </w:rPr>
        <w:t>, проведен от Европейската комисия през месец март 2017 г.</w:t>
      </w:r>
    </w:p>
    <w:p w:rsidR="00094B96" w:rsidRPr="00B67AF6" w:rsidRDefault="00094B96" w:rsidP="00094B96">
      <w:pPr>
        <w:spacing w:after="120" w:line="360" w:lineRule="auto"/>
        <w:ind w:firstLine="708"/>
        <w:jc w:val="both"/>
        <w:rPr>
          <w:rFonts w:ascii="Times New Roman" w:hAnsi="Times New Roman"/>
          <w:sz w:val="24"/>
          <w:szCs w:val="24"/>
        </w:rPr>
      </w:pPr>
      <w:r w:rsidRPr="00B67AF6">
        <w:rPr>
          <w:rFonts w:ascii="Times New Roman" w:hAnsi="Times New Roman"/>
          <w:sz w:val="24"/>
          <w:szCs w:val="24"/>
        </w:rPr>
        <w:t xml:space="preserve">С оглед отразяване на констатациите и препоръките от цитирания одит на Европейската комисия УО на ОПРР планира </w:t>
      </w:r>
      <w:r w:rsidRPr="00B67AF6">
        <w:rPr>
          <w:rFonts w:ascii="Times New Roman" w:hAnsi="Times New Roman"/>
          <w:b/>
          <w:i/>
          <w:sz w:val="24"/>
          <w:szCs w:val="24"/>
        </w:rPr>
        <w:t xml:space="preserve">адаптиране на подхода при </w:t>
      </w:r>
      <w:r w:rsidR="00646B2F" w:rsidRPr="00B67AF6">
        <w:rPr>
          <w:rFonts w:ascii="Times New Roman" w:hAnsi="Times New Roman"/>
          <w:b/>
          <w:i/>
          <w:sz w:val="24"/>
          <w:szCs w:val="24"/>
        </w:rPr>
        <w:t xml:space="preserve">избора на проекти </w:t>
      </w:r>
      <w:r w:rsidR="00646B2F" w:rsidRPr="00B67AF6">
        <w:rPr>
          <w:rFonts w:ascii="Times New Roman" w:hAnsi="Times New Roman"/>
          <w:sz w:val="24"/>
          <w:szCs w:val="24"/>
        </w:rPr>
        <w:t>с оглед осигуряване на пълно съответствие с чл. 7 от Регламента за ЕФРР 1301/2013</w:t>
      </w:r>
      <w:r w:rsidRPr="00B67AF6">
        <w:rPr>
          <w:rFonts w:ascii="Times New Roman" w:hAnsi="Times New Roman"/>
          <w:sz w:val="24"/>
          <w:szCs w:val="24"/>
        </w:rPr>
        <w:t>.</w:t>
      </w:r>
    </w:p>
    <w:p w:rsidR="00094B96" w:rsidRPr="00B67AF6" w:rsidRDefault="00094B96" w:rsidP="00646B2F">
      <w:pPr>
        <w:spacing w:after="120" w:line="360" w:lineRule="auto"/>
        <w:ind w:firstLine="708"/>
        <w:jc w:val="both"/>
        <w:rPr>
          <w:rFonts w:ascii="Times New Roman" w:hAnsi="Times New Roman"/>
          <w:sz w:val="24"/>
          <w:szCs w:val="24"/>
        </w:rPr>
      </w:pPr>
      <w:r w:rsidRPr="00B67AF6">
        <w:rPr>
          <w:rFonts w:ascii="Times New Roman" w:hAnsi="Times New Roman"/>
          <w:sz w:val="24"/>
          <w:szCs w:val="24"/>
        </w:rPr>
        <w:t>Планираните промени в подхода за изпълнение на ПО</w:t>
      </w:r>
      <w:r w:rsidR="00541A70" w:rsidRPr="00B67AF6">
        <w:rPr>
          <w:rFonts w:ascii="Times New Roman" w:hAnsi="Times New Roman"/>
          <w:sz w:val="24"/>
          <w:szCs w:val="24"/>
        </w:rPr>
        <w:t xml:space="preserve"> </w:t>
      </w:r>
      <w:r w:rsidRPr="00B67AF6">
        <w:rPr>
          <w:rFonts w:ascii="Times New Roman" w:hAnsi="Times New Roman"/>
          <w:sz w:val="24"/>
          <w:szCs w:val="24"/>
        </w:rPr>
        <w:t xml:space="preserve">1 </w:t>
      </w:r>
      <w:r w:rsidR="00646B2F" w:rsidRPr="00B67AF6">
        <w:rPr>
          <w:rFonts w:ascii="Times New Roman" w:hAnsi="Times New Roman"/>
          <w:sz w:val="24"/>
          <w:szCs w:val="24"/>
        </w:rPr>
        <w:t>са в 2 посоки</w:t>
      </w:r>
      <w:r w:rsidRPr="00B67AF6">
        <w:rPr>
          <w:rFonts w:ascii="Times New Roman" w:hAnsi="Times New Roman"/>
          <w:sz w:val="24"/>
          <w:szCs w:val="24"/>
        </w:rPr>
        <w:t>:</w:t>
      </w:r>
    </w:p>
    <w:p w:rsidR="00646B2F" w:rsidRPr="00B67AF6" w:rsidRDefault="00646B2F" w:rsidP="00646B2F">
      <w:pPr>
        <w:pStyle w:val="ListParagraph"/>
        <w:numPr>
          <w:ilvl w:val="0"/>
          <w:numId w:val="17"/>
        </w:numPr>
        <w:spacing w:after="120" w:line="360" w:lineRule="auto"/>
        <w:jc w:val="both"/>
        <w:rPr>
          <w:rFonts w:ascii="Times New Roman" w:hAnsi="Times New Roman"/>
          <w:sz w:val="24"/>
          <w:szCs w:val="24"/>
        </w:rPr>
      </w:pPr>
      <w:r w:rsidRPr="00B67AF6">
        <w:rPr>
          <w:rFonts w:ascii="Times New Roman" w:hAnsi="Times New Roman"/>
          <w:sz w:val="24"/>
          <w:szCs w:val="24"/>
        </w:rPr>
        <w:lastRenderedPageBreak/>
        <w:t>На ниво инвестиционна програма;</w:t>
      </w:r>
    </w:p>
    <w:p w:rsidR="00646B2F" w:rsidRPr="00B67AF6" w:rsidRDefault="00646B2F" w:rsidP="00646B2F">
      <w:pPr>
        <w:pStyle w:val="ListParagraph"/>
        <w:numPr>
          <w:ilvl w:val="0"/>
          <w:numId w:val="17"/>
        </w:numPr>
        <w:spacing w:after="120" w:line="360" w:lineRule="auto"/>
        <w:jc w:val="both"/>
        <w:rPr>
          <w:rFonts w:ascii="Times New Roman" w:hAnsi="Times New Roman"/>
          <w:sz w:val="24"/>
          <w:szCs w:val="24"/>
        </w:rPr>
      </w:pPr>
      <w:r w:rsidRPr="00B67AF6">
        <w:rPr>
          <w:rFonts w:ascii="Times New Roman" w:hAnsi="Times New Roman"/>
          <w:sz w:val="24"/>
          <w:szCs w:val="24"/>
        </w:rPr>
        <w:t>На ниво детайлизация на критериите за избор на операции.</w:t>
      </w:r>
    </w:p>
    <w:p w:rsidR="00646B2F" w:rsidRPr="00B67AF6" w:rsidRDefault="00646B2F" w:rsidP="00646B2F">
      <w:pPr>
        <w:spacing w:after="120" w:line="360" w:lineRule="auto"/>
        <w:ind w:firstLine="708"/>
        <w:jc w:val="both"/>
        <w:rPr>
          <w:rFonts w:ascii="Times New Roman" w:hAnsi="Times New Roman"/>
          <w:sz w:val="24"/>
          <w:szCs w:val="24"/>
        </w:rPr>
      </w:pPr>
      <w:r w:rsidRPr="00B67AF6">
        <w:rPr>
          <w:rFonts w:ascii="Times New Roman" w:hAnsi="Times New Roman"/>
          <w:sz w:val="24"/>
          <w:szCs w:val="24"/>
        </w:rPr>
        <w:t xml:space="preserve">Промените, свързани с </w:t>
      </w:r>
      <w:r w:rsidRPr="00B67AF6">
        <w:rPr>
          <w:rFonts w:ascii="Times New Roman" w:hAnsi="Times New Roman"/>
          <w:b/>
          <w:sz w:val="24"/>
          <w:szCs w:val="24"/>
        </w:rPr>
        <w:t>подбора на проекти на ниво инвестиционна програма</w:t>
      </w:r>
      <w:r w:rsidRPr="00B67AF6">
        <w:rPr>
          <w:rFonts w:ascii="Times New Roman" w:hAnsi="Times New Roman"/>
          <w:sz w:val="24"/>
          <w:szCs w:val="24"/>
        </w:rPr>
        <w:t>, включват следното:</w:t>
      </w:r>
    </w:p>
    <w:p w:rsidR="00094B96" w:rsidRPr="00B67AF6" w:rsidRDefault="00094B96" w:rsidP="00646B2F">
      <w:pPr>
        <w:pStyle w:val="ListParagraph"/>
        <w:numPr>
          <w:ilvl w:val="0"/>
          <w:numId w:val="13"/>
        </w:numPr>
        <w:spacing w:after="120" w:line="360" w:lineRule="auto"/>
        <w:ind w:left="284"/>
        <w:jc w:val="both"/>
        <w:rPr>
          <w:rFonts w:ascii="Times New Roman" w:hAnsi="Times New Roman"/>
          <w:sz w:val="24"/>
          <w:szCs w:val="24"/>
        </w:rPr>
      </w:pPr>
      <w:r w:rsidRPr="00B67AF6">
        <w:rPr>
          <w:rFonts w:ascii="Times New Roman" w:hAnsi="Times New Roman"/>
          <w:sz w:val="24"/>
          <w:szCs w:val="24"/>
        </w:rPr>
        <w:t xml:space="preserve">По отношение на сформираните Работни групи за предварителен подбор на проектни идеи: </w:t>
      </w:r>
    </w:p>
    <w:p w:rsidR="00094B96" w:rsidRPr="00B67AF6" w:rsidRDefault="00094B96" w:rsidP="00646B2F">
      <w:pPr>
        <w:pStyle w:val="ListParagraph"/>
        <w:numPr>
          <w:ilvl w:val="2"/>
          <w:numId w:val="14"/>
        </w:numPr>
        <w:spacing w:after="120" w:line="360" w:lineRule="auto"/>
        <w:ind w:left="567"/>
        <w:jc w:val="both"/>
        <w:rPr>
          <w:rFonts w:ascii="Times New Roman" w:hAnsi="Times New Roman"/>
          <w:sz w:val="24"/>
          <w:szCs w:val="24"/>
        </w:rPr>
      </w:pPr>
      <w:r w:rsidRPr="00B67AF6">
        <w:rPr>
          <w:rFonts w:ascii="Times New Roman" w:hAnsi="Times New Roman"/>
          <w:sz w:val="24"/>
          <w:szCs w:val="24"/>
        </w:rPr>
        <w:t>Разширяване на състава на Работната група чрез включване на представители на Междинното звено – за Председател и за Секретар на Работната група;</w:t>
      </w:r>
    </w:p>
    <w:p w:rsidR="00094B96" w:rsidRPr="00B67AF6" w:rsidRDefault="00094B96" w:rsidP="00646B2F">
      <w:pPr>
        <w:pStyle w:val="ListParagraph"/>
        <w:numPr>
          <w:ilvl w:val="2"/>
          <w:numId w:val="14"/>
        </w:numPr>
        <w:spacing w:after="120" w:line="360" w:lineRule="auto"/>
        <w:ind w:left="567"/>
        <w:jc w:val="both"/>
        <w:rPr>
          <w:rFonts w:ascii="Times New Roman" w:hAnsi="Times New Roman"/>
          <w:sz w:val="24"/>
          <w:szCs w:val="24"/>
        </w:rPr>
      </w:pPr>
      <w:r w:rsidRPr="00B67AF6">
        <w:rPr>
          <w:rFonts w:ascii="Times New Roman" w:hAnsi="Times New Roman"/>
          <w:sz w:val="24"/>
          <w:szCs w:val="24"/>
        </w:rPr>
        <w:t>Структура на Работната група – представителите на общината следва да бъдат максимум 49% от членовете на Работната група;</w:t>
      </w:r>
    </w:p>
    <w:p w:rsidR="00094B96" w:rsidRPr="00B67AF6" w:rsidRDefault="00094B96" w:rsidP="00646B2F">
      <w:pPr>
        <w:pStyle w:val="ListParagraph"/>
        <w:numPr>
          <w:ilvl w:val="2"/>
          <w:numId w:val="14"/>
        </w:numPr>
        <w:spacing w:after="120" w:line="360" w:lineRule="auto"/>
        <w:ind w:left="567"/>
        <w:jc w:val="both"/>
        <w:rPr>
          <w:rFonts w:ascii="Times New Roman" w:hAnsi="Times New Roman"/>
          <w:sz w:val="24"/>
          <w:szCs w:val="24"/>
        </w:rPr>
      </w:pPr>
      <w:r w:rsidRPr="00B67AF6">
        <w:rPr>
          <w:rFonts w:ascii="Times New Roman" w:hAnsi="Times New Roman"/>
          <w:sz w:val="24"/>
          <w:szCs w:val="24"/>
        </w:rPr>
        <w:t>Механизъм за гласуване и вземане на решения – чрез мнозинство от мин. 51% от членовете на Работната група.</w:t>
      </w:r>
    </w:p>
    <w:p w:rsidR="00094B96" w:rsidRPr="00B67AF6" w:rsidRDefault="00094B96" w:rsidP="00646B2F">
      <w:pPr>
        <w:pStyle w:val="ListParagraph"/>
        <w:numPr>
          <w:ilvl w:val="0"/>
          <w:numId w:val="13"/>
        </w:numPr>
        <w:spacing w:after="120" w:line="360" w:lineRule="auto"/>
        <w:ind w:left="284"/>
        <w:jc w:val="both"/>
        <w:rPr>
          <w:rFonts w:ascii="Times New Roman" w:hAnsi="Times New Roman"/>
          <w:sz w:val="24"/>
          <w:szCs w:val="24"/>
        </w:rPr>
      </w:pPr>
      <w:r w:rsidRPr="00B67AF6">
        <w:rPr>
          <w:rFonts w:ascii="Times New Roman" w:hAnsi="Times New Roman"/>
          <w:sz w:val="24"/>
          <w:szCs w:val="24"/>
        </w:rPr>
        <w:t>По отношение на процеса по предварителен избор на проектни идеи за включване в инвестиционната програма на общината:</w:t>
      </w:r>
    </w:p>
    <w:p w:rsidR="00094B96" w:rsidRPr="00B67AF6" w:rsidRDefault="00094B96" w:rsidP="00646B2F">
      <w:pPr>
        <w:pStyle w:val="ListParagraph"/>
        <w:numPr>
          <w:ilvl w:val="2"/>
          <w:numId w:val="14"/>
        </w:numPr>
        <w:spacing w:after="120" w:line="360" w:lineRule="auto"/>
        <w:ind w:left="567"/>
        <w:jc w:val="both"/>
        <w:rPr>
          <w:rFonts w:ascii="Times New Roman" w:hAnsi="Times New Roman"/>
          <w:sz w:val="24"/>
          <w:szCs w:val="24"/>
        </w:rPr>
      </w:pPr>
      <w:r w:rsidRPr="00B67AF6">
        <w:rPr>
          <w:rFonts w:ascii="Times New Roman" w:hAnsi="Times New Roman"/>
          <w:sz w:val="24"/>
          <w:szCs w:val="24"/>
        </w:rPr>
        <w:t>Като първи етап всяко заинтересовано лице (собственик/ползвател на сграда/инфраструктура, НПО, сдружения на собствениците, публични институции, групи граждани и т.н.) има възможност да подготви и да подаде фиш за проектна идея, в който да опише предложението си за проект и обект на интервенция. Във фиша се включва информация, която да позволи извършването на коректна и обективна оценка от Работната група.</w:t>
      </w:r>
    </w:p>
    <w:p w:rsidR="00094B96" w:rsidRPr="00B67AF6" w:rsidRDefault="00094B96" w:rsidP="00646B2F">
      <w:pPr>
        <w:pStyle w:val="ListParagraph"/>
        <w:numPr>
          <w:ilvl w:val="2"/>
          <w:numId w:val="14"/>
        </w:numPr>
        <w:spacing w:after="120" w:line="360" w:lineRule="auto"/>
        <w:ind w:left="567"/>
        <w:jc w:val="both"/>
        <w:rPr>
          <w:rFonts w:ascii="Times New Roman" w:hAnsi="Times New Roman"/>
          <w:sz w:val="24"/>
          <w:szCs w:val="24"/>
        </w:rPr>
      </w:pPr>
      <w:r w:rsidRPr="00B67AF6">
        <w:rPr>
          <w:rFonts w:ascii="Times New Roman" w:hAnsi="Times New Roman"/>
          <w:sz w:val="24"/>
          <w:szCs w:val="24"/>
        </w:rPr>
        <w:t>След официална регистрация на всеки фиш за проектна идея в деловодството на общината, Председателят и Секретарят на Работната група изпращат на членовете на Работната група съответните фишове. Председателят и Секретарят разглеждат фишовете и предлагат на Работната група да вземе решение относно тяхната оценка и класиране.</w:t>
      </w:r>
    </w:p>
    <w:p w:rsidR="00094B96" w:rsidRPr="00B67AF6" w:rsidRDefault="00094B96" w:rsidP="00094B96">
      <w:pPr>
        <w:spacing w:after="120" w:line="360" w:lineRule="auto"/>
        <w:ind w:firstLine="708"/>
        <w:jc w:val="both"/>
        <w:rPr>
          <w:rFonts w:ascii="Times New Roman" w:hAnsi="Times New Roman"/>
          <w:sz w:val="24"/>
          <w:szCs w:val="24"/>
        </w:rPr>
      </w:pPr>
      <w:r w:rsidRPr="00B67AF6">
        <w:rPr>
          <w:rFonts w:ascii="Times New Roman" w:hAnsi="Times New Roman"/>
          <w:sz w:val="24"/>
          <w:szCs w:val="24"/>
        </w:rPr>
        <w:t>Фишовете за проектна идея се оценяват от Работната група по следните качествени и количествени критерии за оценка:</w:t>
      </w:r>
    </w:p>
    <w:tbl>
      <w:tblPr>
        <w:tblStyle w:val="TableGrid"/>
        <w:tblW w:w="9752" w:type="dxa"/>
        <w:tblInd w:w="-176" w:type="dxa"/>
        <w:tblLayout w:type="fixed"/>
        <w:tblLook w:val="04A0" w:firstRow="1" w:lastRow="0" w:firstColumn="1" w:lastColumn="0" w:noHBand="0" w:noVBand="1"/>
      </w:tblPr>
      <w:tblGrid>
        <w:gridCol w:w="1985"/>
        <w:gridCol w:w="4222"/>
        <w:gridCol w:w="3545"/>
      </w:tblGrid>
      <w:tr w:rsidR="00094B96" w:rsidRPr="00B67AF6" w:rsidTr="004878B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Тип на критерия</w:t>
            </w:r>
          </w:p>
        </w:tc>
        <w:tc>
          <w:tcPr>
            <w:tcW w:w="42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Критерий</w:t>
            </w:r>
          </w:p>
        </w:tc>
        <w:tc>
          <w:tcPr>
            <w:tcW w:w="3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Оценка</w:t>
            </w:r>
            <w:r w:rsidRPr="00B67AF6">
              <w:rPr>
                <w:rStyle w:val="FootnoteReference"/>
                <w:rFonts w:ascii="Times New Roman" w:hAnsi="Times New Roman"/>
              </w:rPr>
              <w:footnoteReference w:id="1"/>
            </w:r>
          </w:p>
        </w:tc>
      </w:tr>
      <w:tr w:rsidR="00094B96" w:rsidRPr="00B67AF6" w:rsidTr="004878B7">
        <w:tc>
          <w:tcPr>
            <w:tcW w:w="1985"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Критерий за административно съответствие</w:t>
            </w:r>
          </w:p>
        </w:tc>
        <w:tc>
          <w:tcPr>
            <w:tcW w:w="4222"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 xml:space="preserve">Фишът за проектна идея е изцяло попълнен </w:t>
            </w:r>
          </w:p>
        </w:tc>
        <w:tc>
          <w:tcPr>
            <w:tcW w:w="3545"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Да/Не</w:t>
            </w:r>
          </w:p>
        </w:tc>
      </w:tr>
      <w:tr w:rsidR="00094B96" w:rsidRPr="00B67AF6" w:rsidTr="004878B7">
        <w:tc>
          <w:tcPr>
            <w:tcW w:w="1985" w:type="dxa"/>
            <w:vMerge w:val="restart"/>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 xml:space="preserve">Критерии за </w:t>
            </w:r>
            <w:r w:rsidRPr="00B67AF6">
              <w:rPr>
                <w:rFonts w:ascii="Times New Roman" w:hAnsi="Times New Roman"/>
              </w:rPr>
              <w:lastRenderedPageBreak/>
              <w:t>допустимост</w:t>
            </w:r>
          </w:p>
        </w:tc>
        <w:tc>
          <w:tcPr>
            <w:tcW w:w="4222"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lastRenderedPageBreak/>
              <w:t xml:space="preserve">Предложеният обект попада в </w:t>
            </w:r>
            <w:r w:rsidRPr="00B67AF6">
              <w:rPr>
                <w:rFonts w:ascii="Times New Roman" w:hAnsi="Times New Roman"/>
              </w:rPr>
              <w:lastRenderedPageBreak/>
              <w:t>териториалния обхват на интегрирания план за градско възстановяване и развитие:</w:t>
            </w:r>
          </w:p>
          <w:p w:rsidR="00094B96" w:rsidRPr="00B67AF6" w:rsidRDefault="00094B96" w:rsidP="004878B7">
            <w:pPr>
              <w:pStyle w:val="ListParagraph"/>
              <w:numPr>
                <w:ilvl w:val="0"/>
                <w:numId w:val="15"/>
              </w:numPr>
              <w:spacing w:after="120"/>
              <w:ind w:left="287" w:hanging="284"/>
              <w:jc w:val="both"/>
              <w:rPr>
                <w:rFonts w:ascii="Times New Roman" w:hAnsi="Times New Roman"/>
              </w:rPr>
            </w:pPr>
            <w:r w:rsidRPr="00B67AF6">
              <w:rPr>
                <w:rFonts w:ascii="Times New Roman" w:hAnsi="Times New Roman"/>
              </w:rPr>
              <w:t>Социална, образователна и културна инфраструктура – в зоните за въздействие или функционални връзки;</w:t>
            </w:r>
          </w:p>
          <w:p w:rsidR="00094B96" w:rsidRPr="00B67AF6" w:rsidRDefault="00094B96" w:rsidP="004878B7">
            <w:pPr>
              <w:pStyle w:val="ListParagraph"/>
              <w:numPr>
                <w:ilvl w:val="0"/>
                <w:numId w:val="15"/>
              </w:numPr>
              <w:spacing w:after="120"/>
              <w:ind w:left="287" w:hanging="284"/>
              <w:jc w:val="both"/>
              <w:rPr>
                <w:rFonts w:ascii="Times New Roman" w:hAnsi="Times New Roman"/>
              </w:rPr>
            </w:pPr>
            <w:r w:rsidRPr="00B67AF6">
              <w:rPr>
                <w:rFonts w:ascii="Times New Roman" w:hAnsi="Times New Roman"/>
              </w:rPr>
              <w:t>Градска среда и Енергийна ефективност в административни сгради – зоните за въздействие;</w:t>
            </w:r>
          </w:p>
          <w:p w:rsidR="00094B96" w:rsidRPr="00B67AF6" w:rsidRDefault="00094B96" w:rsidP="004878B7">
            <w:pPr>
              <w:pStyle w:val="ListParagraph"/>
              <w:numPr>
                <w:ilvl w:val="0"/>
                <w:numId w:val="15"/>
              </w:numPr>
              <w:spacing w:after="120"/>
              <w:ind w:left="287" w:hanging="284"/>
              <w:jc w:val="both"/>
              <w:rPr>
                <w:rFonts w:ascii="Times New Roman" w:hAnsi="Times New Roman"/>
              </w:rPr>
            </w:pPr>
            <w:r w:rsidRPr="00B67AF6">
              <w:rPr>
                <w:rFonts w:ascii="Times New Roman" w:hAnsi="Times New Roman"/>
              </w:rPr>
              <w:t>Енергийна ефективност в жилищни сгради и студентски общежития – в строителните граници на града;</w:t>
            </w:r>
          </w:p>
          <w:p w:rsidR="00094B96" w:rsidRPr="00B67AF6" w:rsidRDefault="00094B96" w:rsidP="004878B7">
            <w:pPr>
              <w:pStyle w:val="ListParagraph"/>
              <w:numPr>
                <w:ilvl w:val="0"/>
                <w:numId w:val="15"/>
              </w:numPr>
              <w:spacing w:after="120"/>
              <w:ind w:left="287" w:hanging="284"/>
              <w:jc w:val="both"/>
              <w:rPr>
                <w:rFonts w:ascii="Times New Roman" w:hAnsi="Times New Roman"/>
              </w:rPr>
            </w:pPr>
            <w:r w:rsidRPr="00B67AF6">
              <w:rPr>
                <w:rFonts w:ascii="Times New Roman" w:hAnsi="Times New Roman"/>
              </w:rPr>
              <w:t>Градски транспорт – на цялата територия на града, вкл. функционални връзки със съседни населени места, които са част от системата за градски транспорт;</w:t>
            </w:r>
          </w:p>
          <w:p w:rsidR="00094B96" w:rsidRPr="00B67AF6" w:rsidRDefault="00094B96" w:rsidP="004878B7">
            <w:pPr>
              <w:pStyle w:val="ListParagraph"/>
              <w:numPr>
                <w:ilvl w:val="0"/>
                <w:numId w:val="15"/>
              </w:numPr>
              <w:spacing w:after="120"/>
              <w:ind w:left="287" w:hanging="284"/>
              <w:jc w:val="both"/>
              <w:rPr>
                <w:rFonts w:ascii="Times New Roman" w:hAnsi="Times New Roman"/>
              </w:rPr>
            </w:pPr>
            <w:r w:rsidRPr="00B67AF6">
              <w:rPr>
                <w:rFonts w:ascii="Times New Roman" w:hAnsi="Times New Roman"/>
              </w:rPr>
              <w:t>Дейности за зони с потенциал за икономическо развитие – в зони за въздействие с потенциал за икономическо развитие.</w:t>
            </w:r>
          </w:p>
        </w:tc>
        <w:tc>
          <w:tcPr>
            <w:tcW w:w="3545"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lastRenderedPageBreak/>
              <w:t>Да/Не</w:t>
            </w:r>
          </w:p>
        </w:tc>
      </w:tr>
      <w:tr w:rsidR="00094B96" w:rsidRPr="00B67AF6" w:rsidTr="004878B7">
        <w:tc>
          <w:tcPr>
            <w:tcW w:w="1985" w:type="dxa"/>
            <w:vMerge/>
            <w:tcBorders>
              <w:top w:val="single" w:sz="4" w:space="0" w:color="auto"/>
              <w:left w:val="single" w:sz="4" w:space="0" w:color="auto"/>
              <w:bottom w:val="single" w:sz="4" w:space="0" w:color="auto"/>
              <w:right w:val="single" w:sz="4" w:space="0" w:color="auto"/>
            </w:tcBorders>
            <w:vAlign w:val="center"/>
            <w:hideMark/>
          </w:tcPr>
          <w:p w:rsidR="00094B96" w:rsidRPr="00B67AF6" w:rsidRDefault="00094B96" w:rsidP="004878B7">
            <w:pPr>
              <w:jc w:val="both"/>
              <w:rPr>
                <w:rFonts w:ascii="Times New Roman" w:hAnsi="Times New Roman"/>
              </w:rPr>
            </w:pPr>
          </w:p>
        </w:tc>
        <w:tc>
          <w:tcPr>
            <w:tcW w:w="4222"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Предложеният обект попада в обхвата на допустимите дейности/обекти за подкрепа по Приоритетна ос 1</w:t>
            </w:r>
          </w:p>
        </w:tc>
        <w:tc>
          <w:tcPr>
            <w:tcW w:w="3545"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Да/Не</w:t>
            </w:r>
          </w:p>
        </w:tc>
      </w:tr>
      <w:tr w:rsidR="00094B96" w:rsidRPr="00B67AF6" w:rsidTr="004878B7">
        <w:tc>
          <w:tcPr>
            <w:tcW w:w="1985" w:type="dxa"/>
            <w:vMerge w:val="restart"/>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Критерии за качество</w:t>
            </w:r>
          </w:p>
        </w:tc>
        <w:tc>
          <w:tcPr>
            <w:tcW w:w="4222"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Принос към индикаторите за продукт от рамката за изпълнение на ПО1</w:t>
            </w:r>
            <w:r w:rsidRPr="00B67AF6">
              <w:rPr>
                <w:rFonts w:ascii="Times New Roman" w:hAnsi="Times New Roman"/>
              </w:rPr>
              <w:br/>
            </w:r>
          </w:p>
        </w:tc>
        <w:tc>
          <w:tcPr>
            <w:tcW w:w="3545"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Сравнява се единичната стойност за индикатора във фиша със средните единични стойности за индикаторите, използвани в ОПРР 2014-2020.</w:t>
            </w:r>
          </w:p>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Точки с тройна тежест между 0 и 5</w:t>
            </w:r>
          </w:p>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Максимален резултат – 3х5=15 точки</w:t>
            </w:r>
          </w:p>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Минимален резултат – 3х0=0 точки</w:t>
            </w:r>
          </w:p>
        </w:tc>
      </w:tr>
      <w:tr w:rsidR="00094B96" w:rsidRPr="00B67AF6" w:rsidTr="004878B7">
        <w:tc>
          <w:tcPr>
            <w:tcW w:w="1985" w:type="dxa"/>
            <w:vMerge/>
            <w:tcBorders>
              <w:top w:val="single" w:sz="4" w:space="0" w:color="auto"/>
              <w:left w:val="single" w:sz="4" w:space="0" w:color="auto"/>
              <w:bottom w:val="single" w:sz="4" w:space="0" w:color="auto"/>
              <w:right w:val="single" w:sz="4" w:space="0" w:color="auto"/>
            </w:tcBorders>
            <w:vAlign w:val="center"/>
            <w:hideMark/>
          </w:tcPr>
          <w:p w:rsidR="00094B96" w:rsidRPr="00B67AF6" w:rsidRDefault="00094B96" w:rsidP="004878B7">
            <w:pPr>
              <w:jc w:val="both"/>
              <w:rPr>
                <w:rFonts w:ascii="Times New Roman" w:hAnsi="Times New Roman"/>
              </w:rPr>
            </w:pPr>
          </w:p>
        </w:tc>
        <w:tc>
          <w:tcPr>
            <w:tcW w:w="4222" w:type="dxa"/>
            <w:tcBorders>
              <w:top w:val="single" w:sz="4" w:space="0" w:color="auto"/>
              <w:left w:val="single" w:sz="4" w:space="0" w:color="auto"/>
              <w:bottom w:val="single" w:sz="4" w:space="0" w:color="auto"/>
              <w:right w:val="single" w:sz="4" w:space="0" w:color="auto"/>
            </w:tcBorders>
          </w:tcPr>
          <w:p w:rsidR="00094B96" w:rsidRPr="00B67AF6" w:rsidRDefault="00094B96" w:rsidP="004878B7">
            <w:pPr>
              <w:pStyle w:val="ListParagraph"/>
              <w:spacing w:after="120"/>
              <w:ind w:left="0"/>
              <w:jc w:val="both"/>
              <w:rPr>
                <w:rFonts w:ascii="Times New Roman" w:hAnsi="Times New Roman"/>
              </w:rPr>
            </w:pPr>
            <w:proofErr w:type="spellStart"/>
            <w:r w:rsidRPr="00B67AF6">
              <w:rPr>
                <w:rFonts w:ascii="Times New Roman" w:hAnsi="Times New Roman"/>
              </w:rPr>
              <w:t>Синергичен</w:t>
            </w:r>
            <w:proofErr w:type="spellEnd"/>
            <w:r w:rsidRPr="00B67AF6">
              <w:rPr>
                <w:rFonts w:ascii="Times New Roman" w:hAnsi="Times New Roman"/>
              </w:rPr>
              <w:t xml:space="preserve"> ефект и връзки с други проекти в съответната градска зона, които са изпълнени или са в процес на изпълнение</w:t>
            </w:r>
          </w:p>
          <w:p w:rsidR="00094B96" w:rsidRPr="00B67AF6" w:rsidRDefault="00094B96" w:rsidP="004878B7">
            <w:pPr>
              <w:pStyle w:val="ListParagraph"/>
              <w:spacing w:after="120"/>
              <w:ind w:left="0"/>
              <w:jc w:val="both"/>
              <w:rPr>
                <w:rFonts w:ascii="Times New Roman" w:hAnsi="Times New Roman"/>
              </w:rPr>
            </w:pPr>
          </w:p>
          <w:p w:rsidR="00094B96" w:rsidRPr="00B67AF6" w:rsidRDefault="00094B96" w:rsidP="004878B7">
            <w:pPr>
              <w:pStyle w:val="ListParagraph"/>
              <w:spacing w:after="120"/>
              <w:ind w:left="0"/>
              <w:jc w:val="both"/>
              <w:rPr>
                <w:rFonts w:ascii="Times New Roman" w:hAnsi="Times New Roman"/>
              </w:rPr>
            </w:pPr>
          </w:p>
        </w:tc>
        <w:tc>
          <w:tcPr>
            <w:tcW w:w="3545"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Оценява се връзката на проектната идея с други проекти в съответната градска зона.</w:t>
            </w:r>
          </w:p>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Точки с двойна тежест между 0 и 5</w:t>
            </w:r>
          </w:p>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Максимален резултат – 2х5=10 точки</w:t>
            </w:r>
          </w:p>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Минимален резултат – 2х0=0 точки</w:t>
            </w:r>
          </w:p>
        </w:tc>
      </w:tr>
      <w:tr w:rsidR="00094B96" w:rsidRPr="00B67AF6" w:rsidTr="004878B7">
        <w:tc>
          <w:tcPr>
            <w:tcW w:w="1985" w:type="dxa"/>
            <w:vMerge/>
            <w:tcBorders>
              <w:top w:val="single" w:sz="4" w:space="0" w:color="auto"/>
              <w:left w:val="single" w:sz="4" w:space="0" w:color="auto"/>
              <w:bottom w:val="single" w:sz="4" w:space="0" w:color="auto"/>
              <w:right w:val="single" w:sz="4" w:space="0" w:color="auto"/>
            </w:tcBorders>
            <w:vAlign w:val="center"/>
            <w:hideMark/>
          </w:tcPr>
          <w:p w:rsidR="00094B96" w:rsidRPr="00B67AF6" w:rsidRDefault="00094B96" w:rsidP="004878B7">
            <w:pPr>
              <w:jc w:val="both"/>
              <w:rPr>
                <w:rFonts w:ascii="Times New Roman" w:hAnsi="Times New Roman"/>
              </w:rPr>
            </w:pPr>
          </w:p>
        </w:tc>
        <w:tc>
          <w:tcPr>
            <w:tcW w:w="4222"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Принос към индикаторите за продукт от одобрената инвестиционна програма</w:t>
            </w:r>
          </w:p>
        </w:tc>
        <w:tc>
          <w:tcPr>
            <w:tcW w:w="3545"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Оценява се приносът/делът на индикатора във фиша спрямо целевата стойност на индикатора в одобрената инвестиционна програма.</w:t>
            </w:r>
          </w:p>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Точки с единична тежест между 0 и 3 точки</w:t>
            </w:r>
          </w:p>
        </w:tc>
      </w:tr>
      <w:tr w:rsidR="00094B96" w:rsidRPr="00B67AF6" w:rsidTr="004878B7">
        <w:tc>
          <w:tcPr>
            <w:tcW w:w="1985" w:type="dxa"/>
            <w:vMerge/>
            <w:tcBorders>
              <w:top w:val="single" w:sz="4" w:space="0" w:color="auto"/>
              <w:left w:val="single" w:sz="4" w:space="0" w:color="auto"/>
              <w:bottom w:val="single" w:sz="4" w:space="0" w:color="auto"/>
              <w:right w:val="single" w:sz="4" w:space="0" w:color="auto"/>
            </w:tcBorders>
            <w:vAlign w:val="center"/>
            <w:hideMark/>
          </w:tcPr>
          <w:p w:rsidR="00094B96" w:rsidRPr="00B67AF6" w:rsidRDefault="00094B96" w:rsidP="004878B7">
            <w:pPr>
              <w:jc w:val="both"/>
              <w:rPr>
                <w:rFonts w:ascii="Times New Roman" w:hAnsi="Times New Roman"/>
              </w:rPr>
            </w:pPr>
          </w:p>
        </w:tc>
        <w:tc>
          <w:tcPr>
            <w:tcW w:w="4222" w:type="dxa"/>
            <w:tcBorders>
              <w:top w:val="single" w:sz="4" w:space="0" w:color="auto"/>
              <w:left w:val="single" w:sz="4" w:space="0" w:color="auto"/>
              <w:bottom w:val="single" w:sz="4" w:space="0" w:color="auto"/>
              <w:right w:val="single" w:sz="4" w:space="0" w:color="auto"/>
            </w:tcBorders>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Принос към мерките и целите на градската стратегия (Интегрирания план за градско въздействие и развитие)</w:t>
            </w:r>
          </w:p>
          <w:p w:rsidR="00094B96" w:rsidRPr="00B67AF6" w:rsidRDefault="00094B96" w:rsidP="004878B7">
            <w:pPr>
              <w:pStyle w:val="ListParagraph"/>
              <w:spacing w:after="120"/>
              <w:ind w:left="0"/>
              <w:jc w:val="both"/>
              <w:rPr>
                <w:rFonts w:ascii="Times New Roman" w:hAnsi="Times New Roman"/>
              </w:rPr>
            </w:pPr>
          </w:p>
          <w:p w:rsidR="00094B96" w:rsidRPr="00B67AF6" w:rsidRDefault="00094B96" w:rsidP="004878B7">
            <w:pPr>
              <w:pStyle w:val="ListParagraph"/>
              <w:spacing w:after="120"/>
              <w:ind w:left="0"/>
              <w:jc w:val="both"/>
              <w:rPr>
                <w:rFonts w:ascii="Times New Roman" w:hAnsi="Times New Roman"/>
              </w:rPr>
            </w:pPr>
          </w:p>
          <w:p w:rsidR="00094B96" w:rsidRPr="00B67AF6" w:rsidRDefault="00094B96" w:rsidP="004878B7">
            <w:pPr>
              <w:pStyle w:val="ListParagraph"/>
              <w:spacing w:after="120"/>
              <w:ind w:left="0"/>
              <w:jc w:val="both"/>
              <w:rPr>
                <w:rFonts w:ascii="Times New Roman" w:hAnsi="Times New Roman"/>
              </w:rPr>
            </w:pPr>
          </w:p>
        </w:tc>
        <w:tc>
          <w:tcPr>
            <w:tcW w:w="3545"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Оценява се дали проектната идея има директен или индиректен принос към ИПГВР</w:t>
            </w:r>
          </w:p>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Точки с единична тежест между 0 и 3 точки</w:t>
            </w:r>
          </w:p>
        </w:tc>
      </w:tr>
      <w:tr w:rsidR="00094B96" w:rsidRPr="00B67AF6" w:rsidTr="004878B7">
        <w:tc>
          <w:tcPr>
            <w:tcW w:w="1985" w:type="dxa"/>
            <w:vMerge/>
            <w:tcBorders>
              <w:top w:val="single" w:sz="4" w:space="0" w:color="auto"/>
              <w:left w:val="single" w:sz="4" w:space="0" w:color="auto"/>
              <w:bottom w:val="single" w:sz="4" w:space="0" w:color="auto"/>
              <w:right w:val="single" w:sz="4" w:space="0" w:color="auto"/>
            </w:tcBorders>
            <w:vAlign w:val="center"/>
            <w:hideMark/>
          </w:tcPr>
          <w:p w:rsidR="00094B96" w:rsidRPr="00B67AF6" w:rsidRDefault="00094B96" w:rsidP="004878B7">
            <w:pPr>
              <w:jc w:val="both"/>
              <w:rPr>
                <w:rFonts w:ascii="Times New Roman" w:hAnsi="Times New Roman"/>
              </w:rPr>
            </w:pPr>
          </w:p>
        </w:tc>
        <w:tc>
          <w:tcPr>
            <w:tcW w:w="4222" w:type="dxa"/>
            <w:tcBorders>
              <w:top w:val="single" w:sz="4" w:space="0" w:color="auto"/>
              <w:left w:val="single" w:sz="4" w:space="0" w:color="auto"/>
              <w:bottom w:val="single" w:sz="4" w:space="0" w:color="auto"/>
              <w:right w:val="single" w:sz="4" w:space="0" w:color="auto"/>
            </w:tcBorders>
          </w:tcPr>
          <w:p w:rsidR="00094B96" w:rsidRPr="00B67AF6" w:rsidRDefault="00094B96" w:rsidP="004878B7">
            <w:pPr>
              <w:pStyle w:val="ListParagraph"/>
              <w:spacing w:after="120"/>
              <w:ind w:left="0"/>
              <w:jc w:val="both"/>
              <w:rPr>
                <w:rFonts w:ascii="Times New Roman" w:hAnsi="Times New Roman"/>
              </w:rPr>
            </w:pPr>
            <w:r w:rsidRPr="00B67AF6">
              <w:rPr>
                <w:rFonts w:ascii="Times New Roman" w:hAnsi="Times New Roman"/>
              </w:rPr>
              <w:t xml:space="preserve">Партньорство и консенсус между заинтересованите страни </w:t>
            </w:r>
          </w:p>
          <w:p w:rsidR="00094B96" w:rsidRPr="00B67AF6" w:rsidRDefault="00094B96" w:rsidP="004878B7">
            <w:pPr>
              <w:pStyle w:val="ListParagraph"/>
              <w:spacing w:after="120"/>
              <w:ind w:left="0"/>
              <w:jc w:val="both"/>
              <w:rPr>
                <w:rFonts w:ascii="Times New Roman" w:hAnsi="Times New Roman"/>
              </w:rPr>
            </w:pPr>
          </w:p>
          <w:p w:rsidR="00094B96" w:rsidRPr="00B67AF6" w:rsidRDefault="00094B96" w:rsidP="004878B7">
            <w:pPr>
              <w:pStyle w:val="ListParagraph"/>
              <w:spacing w:after="120"/>
              <w:ind w:left="0"/>
              <w:jc w:val="both"/>
              <w:rPr>
                <w:rFonts w:ascii="Times New Roman" w:hAnsi="Times New Roman"/>
              </w:rPr>
            </w:pPr>
          </w:p>
          <w:p w:rsidR="00094B96" w:rsidRPr="00B67AF6" w:rsidRDefault="00094B96" w:rsidP="004878B7">
            <w:pPr>
              <w:pStyle w:val="ListParagraph"/>
              <w:spacing w:after="120"/>
              <w:ind w:left="0"/>
              <w:jc w:val="both"/>
              <w:rPr>
                <w:rFonts w:ascii="Times New Roman" w:hAnsi="Times New Roman"/>
              </w:rPr>
            </w:pPr>
          </w:p>
        </w:tc>
        <w:tc>
          <w:tcPr>
            <w:tcW w:w="3545" w:type="dxa"/>
            <w:tcBorders>
              <w:top w:val="single" w:sz="4" w:space="0" w:color="auto"/>
              <w:left w:val="single" w:sz="4" w:space="0" w:color="auto"/>
              <w:bottom w:val="single" w:sz="4" w:space="0" w:color="auto"/>
              <w:right w:val="single" w:sz="4" w:space="0" w:color="auto"/>
            </w:tcBorders>
            <w:hideMark/>
          </w:tcPr>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Оценява се провеждането на обществено обсъждане/информационна кампания, както и приложените писма за подкрепа от други организации/заинтересовани лица</w:t>
            </w:r>
          </w:p>
          <w:p w:rsidR="00094B96" w:rsidRPr="00B67AF6" w:rsidRDefault="00094B96" w:rsidP="004878B7">
            <w:pPr>
              <w:pStyle w:val="ListParagraph"/>
              <w:numPr>
                <w:ilvl w:val="0"/>
                <w:numId w:val="16"/>
              </w:numPr>
              <w:tabs>
                <w:tab w:val="left" w:pos="224"/>
              </w:tabs>
              <w:spacing w:after="120"/>
              <w:ind w:left="65" w:firstLine="0"/>
              <w:jc w:val="both"/>
              <w:rPr>
                <w:rFonts w:ascii="Times New Roman" w:hAnsi="Times New Roman"/>
              </w:rPr>
            </w:pPr>
            <w:r w:rsidRPr="00B67AF6">
              <w:rPr>
                <w:rFonts w:ascii="Times New Roman" w:hAnsi="Times New Roman"/>
              </w:rPr>
              <w:t>Точки с единична тежест между 0 и 3 точки</w:t>
            </w:r>
          </w:p>
        </w:tc>
      </w:tr>
    </w:tbl>
    <w:p w:rsidR="00094B96" w:rsidRPr="00B67AF6" w:rsidRDefault="00094B96" w:rsidP="00094B96">
      <w:pPr>
        <w:pStyle w:val="ListParagraph"/>
        <w:spacing w:after="120" w:line="360" w:lineRule="auto"/>
        <w:ind w:left="2160"/>
        <w:jc w:val="both"/>
        <w:rPr>
          <w:rFonts w:ascii="Times New Roman" w:hAnsi="Times New Roman"/>
          <w:sz w:val="24"/>
          <w:szCs w:val="24"/>
        </w:rPr>
      </w:pPr>
    </w:p>
    <w:p w:rsidR="00094B96" w:rsidRPr="00B67AF6" w:rsidRDefault="00094B96" w:rsidP="00094B96">
      <w:pPr>
        <w:spacing w:after="120" w:line="360" w:lineRule="auto"/>
        <w:jc w:val="both"/>
        <w:rPr>
          <w:rFonts w:ascii="Times New Roman" w:hAnsi="Times New Roman"/>
          <w:sz w:val="24"/>
          <w:szCs w:val="24"/>
        </w:rPr>
      </w:pPr>
      <w:r w:rsidRPr="00B67AF6">
        <w:rPr>
          <w:rFonts w:ascii="Times New Roman" w:hAnsi="Times New Roman"/>
          <w:sz w:val="24"/>
          <w:szCs w:val="24"/>
        </w:rPr>
        <w:tab/>
        <w:t xml:space="preserve">Максималните точки, които може да получи проектният фиш, са 34 точки. Проектни фишове, получили по-малко от 15 точки, не се одобряват от Работната група. Оценката на подадените фишове за проектна идея се </w:t>
      </w:r>
      <w:proofErr w:type="spellStart"/>
      <w:r w:rsidRPr="00B67AF6">
        <w:rPr>
          <w:rFonts w:ascii="Times New Roman" w:hAnsi="Times New Roman"/>
          <w:sz w:val="24"/>
          <w:szCs w:val="24"/>
        </w:rPr>
        <w:t>официализира</w:t>
      </w:r>
      <w:proofErr w:type="spellEnd"/>
      <w:r w:rsidRPr="00B67AF6">
        <w:rPr>
          <w:rFonts w:ascii="Times New Roman" w:hAnsi="Times New Roman"/>
          <w:sz w:val="24"/>
          <w:szCs w:val="24"/>
        </w:rPr>
        <w:t xml:space="preserve"> в протокол от заседание на Работната група, който се подписва от всички членове на Работната група. В протокола се записва индивидуалното становище на всеки член на Работната група по отношение на оценката на проектните фишове.</w:t>
      </w:r>
    </w:p>
    <w:p w:rsidR="00094B96" w:rsidRPr="00B67AF6" w:rsidRDefault="00094B96" w:rsidP="00094B96">
      <w:pPr>
        <w:spacing w:after="120" w:line="360" w:lineRule="auto"/>
        <w:ind w:firstLine="708"/>
        <w:jc w:val="both"/>
        <w:rPr>
          <w:rFonts w:ascii="Times New Roman" w:hAnsi="Times New Roman"/>
          <w:sz w:val="24"/>
          <w:szCs w:val="24"/>
        </w:rPr>
      </w:pPr>
      <w:r w:rsidRPr="00B67AF6">
        <w:rPr>
          <w:rFonts w:ascii="Times New Roman" w:hAnsi="Times New Roman"/>
          <w:sz w:val="24"/>
          <w:szCs w:val="24"/>
        </w:rPr>
        <w:t>Одобрените и класирани фишове за проектни идеи практически допълват списъците с идеи/проекти от инвестиционната програма на общината. На следващ етап, конкретните бенефициенти по ПО1, в сътрудничество със заинтересованите лица/ организациите, които са подали съответните фишове, разработват проектни предложения, които следва да включват само одобрени от Работната група проектни идеи/обекти.</w:t>
      </w:r>
    </w:p>
    <w:p w:rsidR="00094B96" w:rsidRPr="00B67AF6" w:rsidRDefault="00094B96" w:rsidP="00094B96">
      <w:pPr>
        <w:spacing w:after="120" w:line="360" w:lineRule="auto"/>
        <w:ind w:firstLine="708"/>
        <w:jc w:val="both"/>
        <w:rPr>
          <w:rFonts w:ascii="Times New Roman" w:hAnsi="Times New Roman"/>
          <w:sz w:val="24"/>
          <w:szCs w:val="24"/>
        </w:rPr>
      </w:pPr>
      <w:r w:rsidRPr="00B67AF6">
        <w:rPr>
          <w:rFonts w:ascii="Times New Roman" w:hAnsi="Times New Roman"/>
          <w:sz w:val="24"/>
          <w:szCs w:val="24"/>
        </w:rPr>
        <w:t>Разработените проектни предложения се подават в системата ИСУН 2020 и се оценяват от Междинните звена, в съответствие с критериите, одобрени от Комитета за наблюдение на Оперативната програма.</w:t>
      </w:r>
    </w:p>
    <w:p w:rsidR="00541A70" w:rsidRPr="00B67AF6" w:rsidRDefault="00541A70" w:rsidP="00094B96">
      <w:pPr>
        <w:spacing w:before="120" w:after="120" w:line="360" w:lineRule="auto"/>
        <w:ind w:firstLine="72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Процедурата, свързана с подбора на проекти, се представя на членовете на КН на ОПРР 2014-2020 за информация с оглед осигуряване на прозрачност и даване на пълна яснота по общия стратегически подход за изпълнение на ПО 1.</w:t>
      </w:r>
    </w:p>
    <w:p w:rsidR="006642A8" w:rsidRPr="00B67AF6" w:rsidRDefault="000964E5" w:rsidP="000964E5">
      <w:pPr>
        <w:tabs>
          <w:tab w:val="num" w:pos="0"/>
        </w:tabs>
        <w:spacing w:before="120" w:after="120" w:line="360" w:lineRule="auto"/>
        <w:jc w:val="both"/>
        <w:rPr>
          <w:rFonts w:ascii="Times New Roman" w:eastAsia="Times New Roman" w:hAnsi="Times New Roman"/>
          <w:bCs/>
          <w:iCs/>
          <w:sz w:val="24"/>
          <w:szCs w:val="24"/>
          <w:lang w:eastAsia="bg-BG" w:bidi="bg-BG"/>
        </w:rPr>
      </w:pPr>
      <w:r w:rsidRPr="00B67AF6">
        <w:rPr>
          <w:rFonts w:ascii="Times New Roman" w:eastAsia="Times New Roman" w:hAnsi="Times New Roman"/>
          <w:bCs/>
          <w:iCs/>
          <w:sz w:val="24"/>
          <w:szCs w:val="24"/>
          <w:lang w:eastAsia="bg-BG" w:bidi="bg-BG"/>
        </w:rPr>
        <w:tab/>
        <w:t xml:space="preserve">По отношение на </w:t>
      </w:r>
      <w:r w:rsidRPr="00B67AF6">
        <w:rPr>
          <w:rFonts w:ascii="Times New Roman" w:eastAsia="Times New Roman" w:hAnsi="Times New Roman"/>
          <w:b/>
          <w:bCs/>
          <w:iCs/>
          <w:sz w:val="24"/>
          <w:szCs w:val="24"/>
          <w:lang w:eastAsia="bg-BG" w:bidi="bg-BG"/>
        </w:rPr>
        <w:t>детайлизирането на критериите за избор на операции</w:t>
      </w:r>
      <w:r w:rsidRPr="00B67AF6">
        <w:rPr>
          <w:rFonts w:ascii="Times New Roman" w:eastAsia="Times New Roman" w:hAnsi="Times New Roman"/>
          <w:bCs/>
          <w:iCs/>
          <w:sz w:val="24"/>
          <w:szCs w:val="24"/>
          <w:lang w:eastAsia="bg-BG" w:bidi="bg-BG"/>
        </w:rPr>
        <w:t xml:space="preserve"> са направени </w:t>
      </w:r>
      <w:r w:rsidR="00855F17" w:rsidRPr="00B67AF6">
        <w:rPr>
          <w:rFonts w:ascii="Times New Roman" w:eastAsia="Times New Roman" w:hAnsi="Times New Roman"/>
          <w:bCs/>
          <w:iCs/>
          <w:sz w:val="24"/>
          <w:szCs w:val="24"/>
          <w:lang w:eastAsia="bg-BG" w:bidi="bg-BG"/>
        </w:rPr>
        <w:t>промен</w:t>
      </w:r>
      <w:r w:rsidRPr="00B67AF6">
        <w:rPr>
          <w:rFonts w:ascii="Times New Roman" w:eastAsia="Times New Roman" w:hAnsi="Times New Roman"/>
          <w:bCs/>
          <w:iCs/>
          <w:sz w:val="24"/>
          <w:szCs w:val="24"/>
          <w:lang w:eastAsia="bg-BG" w:bidi="bg-BG"/>
        </w:rPr>
        <w:t xml:space="preserve">и, които </w:t>
      </w:r>
      <w:r w:rsidR="00855F17" w:rsidRPr="00B67AF6">
        <w:rPr>
          <w:rFonts w:ascii="Times New Roman" w:eastAsia="Times New Roman" w:hAnsi="Times New Roman"/>
          <w:bCs/>
          <w:iCs/>
          <w:sz w:val="24"/>
          <w:szCs w:val="24"/>
          <w:lang w:eastAsia="bg-BG" w:bidi="bg-BG"/>
        </w:rPr>
        <w:t>отразяват получените одитни препоръки</w:t>
      </w:r>
      <w:r w:rsidR="005775F9" w:rsidRPr="00B67AF6">
        <w:rPr>
          <w:rFonts w:ascii="Times New Roman" w:eastAsia="Times New Roman" w:hAnsi="Times New Roman"/>
          <w:bCs/>
          <w:iCs/>
          <w:sz w:val="24"/>
          <w:szCs w:val="24"/>
          <w:lang w:eastAsia="bg-BG" w:bidi="bg-BG"/>
        </w:rPr>
        <w:t xml:space="preserve"> </w:t>
      </w:r>
      <w:r w:rsidR="00B226AF" w:rsidRPr="00B67AF6">
        <w:rPr>
          <w:rFonts w:ascii="Times New Roman" w:eastAsia="Times New Roman" w:hAnsi="Times New Roman"/>
          <w:bCs/>
          <w:iCs/>
          <w:sz w:val="24"/>
          <w:szCs w:val="24"/>
          <w:lang w:eastAsia="bg-BG" w:bidi="bg-BG"/>
        </w:rPr>
        <w:t xml:space="preserve">като са </w:t>
      </w:r>
      <w:r w:rsidR="005775F9" w:rsidRPr="00B67AF6">
        <w:rPr>
          <w:rFonts w:ascii="Times New Roman" w:eastAsia="Times New Roman" w:hAnsi="Times New Roman"/>
          <w:bCs/>
          <w:iCs/>
          <w:sz w:val="24"/>
          <w:szCs w:val="24"/>
          <w:lang w:eastAsia="bg-BG" w:bidi="bg-BG"/>
        </w:rPr>
        <w:t>включе</w:t>
      </w:r>
      <w:r w:rsidR="00B226AF" w:rsidRPr="00B67AF6">
        <w:rPr>
          <w:rFonts w:ascii="Times New Roman" w:eastAsia="Times New Roman" w:hAnsi="Times New Roman"/>
          <w:bCs/>
          <w:iCs/>
          <w:sz w:val="24"/>
          <w:szCs w:val="24"/>
          <w:lang w:eastAsia="bg-BG" w:bidi="bg-BG"/>
        </w:rPr>
        <w:t>ни</w:t>
      </w:r>
      <w:r w:rsidR="005775F9" w:rsidRPr="00B67AF6">
        <w:rPr>
          <w:rFonts w:ascii="Times New Roman" w:eastAsia="Times New Roman" w:hAnsi="Times New Roman"/>
          <w:bCs/>
          <w:iCs/>
          <w:sz w:val="24"/>
          <w:szCs w:val="24"/>
          <w:lang w:eastAsia="bg-BG" w:bidi="bg-BG"/>
        </w:rPr>
        <w:t xml:space="preserve"> допълнителни проверки относно</w:t>
      </w:r>
      <w:r w:rsidR="00855F17" w:rsidRPr="00B67AF6">
        <w:rPr>
          <w:rFonts w:ascii="Times New Roman" w:eastAsia="Times New Roman" w:hAnsi="Times New Roman"/>
          <w:bCs/>
          <w:iCs/>
          <w:sz w:val="24"/>
          <w:szCs w:val="24"/>
          <w:lang w:eastAsia="bg-BG" w:bidi="bg-BG"/>
        </w:rPr>
        <w:t>:</w:t>
      </w:r>
    </w:p>
    <w:p w:rsidR="00855F17" w:rsidRPr="00B67AF6" w:rsidRDefault="00855F17" w:rsidP="00DE52C6">
      <w:pPr>
        <w:pStyle w:val="ListParagraph"/>
        <w:numPr>
          <w:ilvl w:val="0"/>
          <w:numId w:val="9"/>
        </w:numPr>
        <w:spacing w:before="120" w:after="120" w:line="360" w:lineRule="auto"/>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bidi="bg-BG"/>
        </w:rPr>
        <w:lastRenderedPageBreak/>
        <w:t xml:space="preserve">Съответствие на заложените в </w:t>
      </w:r>
      <w:r w:rsidR="00B226AF" w:rsidRPr="00B67AF6">
        <w:rPr>
          <w:rFonts w:ascii="Times New Roman" w:eastAsia="Times New Roman" w:hAnsi="Times New Roman"/>
          <w:bCs/>
          <w:sz w:val="24"/>
          <w:szCs w:val="24"/>
          <w:lang w:eastAsia="bg-BG" w:bidi="bg-BG"/>
        </w:rPr>
        <w:t xml:space="preserve">бюджета суми за всяка дейност във формуляра за кандидатстване </w:t>
      </w:r>
      <w:r w:rsidRPr="00B67AF6">
        <w:rPr>
          <w:rFonts w:ascii="Times New Roman" w:eastAsia="Times New Roman" w:hAnsi="Times New Roman"/>
          <w:bCs/>
          <w:sz w:val="24"/>
          <w:szCs w:val="24"/>
          <w:lang w:eastAsia="bg-BG" w:bidi="bg-BG"/>
        </w:rPr>
        <w:t>и пропорционалност с пазарните цени;</w:t>
      </w:r>
    </w:p>
    <w:p w:rsidR="00855F17" w:rsidRPr="00B67AF6" w:rsidRDefault="00855F17" w:rsidP="00DE52C6">
      <w:pPr>
        <w:pStyle w:val="ListParagraph"/>
        <w:numPr>
          <w:ilvl w:val="0"/>
          <w:numId w:val="9"/>
        </w:numPr>
        <w:spacing w:before="120" w:after="120" w:line="360" w:lineRule="auto"/>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Съответствие на административния капацитет на бенефициента;</w:t>
      </w:r>
    </w:p>
    <w:p w:rsidR="00855F17" w:rsidRPr="00B67AF6" w:rsidRDefault="005775F9" w:rsidP="00DE52C6">
      <w:pPr>
        <w:pStyle w:val="ListParagraph"/>
        <w:numPr>
          <w:ilvl w:val="0"/>
          <w:numId w:val="9"/>
        </w:numPr>
        <w:spacing w:before="120" w:after="120" w:line="360" w:lineRule="auto"/>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Съответствие на условията за изпълнение на операциите (например наличие на съгласие на собствениците);</w:t>
      </w:r>
    </w:p>
    <w:p w:rsidR="005775F9" w:rsidRPr="00B67AF6" w:rsidRDefault="005775F9" w:rsidP="00DE52C6">
      <w:pPr>
        <w:pStyle w:val="ListParagraph"/>
        <w:numPr>
          <w:ilvl w:val="0"/>
          <w:numId w:val="9"/>
        </w:numPr>
        <w:spacing w:before="120" w:after="120" w:line="360" w:lineRule="auto"/>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Изпълнение на изискванията за дълготрайност по чл. 71 от Регламент № 1303/2013;</w:t>
      </w:r>
    </w:p>
    <w:p w:rsidR="005775F9" w:rsidRPr="00B67AF6" w:rsidRDefault="005775F9" w:rsidP="00DE52C6">
      <w:pPr>
        <w:pStyle w:val="ListParagraph"/>
        <w:numPr>
          <w:ilvl w:val="0"/>
          <w:numId w:val="9"/>
        </w:numPr>
        <w:spacing w:before="120" w:after="120" w:line="360" w:lineRule="auto"/>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Допустимост на разходите, заложени във формуляра за кандидатстване (например допустимост на разходите за ДДС);</w:t>
      </w:r>
    </w:p>
    <w:p w:rsidR="005775F9" w:rsidRPr="00B67AF6" w:rsidRDefault="005775F9" w:rsidP="00DE52C6">
      <w:pPr>
        <w:pStyle w:val="ListParagraph"/>
        <w:numPr>
          <w:ilvl w:val="0"/>
          <w:numId w:val="9"/>
        </w:numPr>
        <w:spacing w:before="120" w:after="120" w:line="360" w:lineRule="auto"/>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Съответствие на проект</w:t>
      </w:r>
      <w:r w:rsidR="00E44E27" w:rsidRPr="00B67AF6">
        <w:rPr>
          <w:rFonts w:ascii="Times New Roman" w:eastAsia="Times New Roman" w:hAnsi="Times New Roman"/>
          <w:bCs/>
          <w:sz w:val="24"/>
          <w:szCs w:val="24"/>
          <w:lang w:eastAsia="bg-BG"/>
        </w:rPr>
        <w:t>н</w:t>
      </w:r>
      <w:r w:rsidRPr="00B67AF6">
        <w:rPr>
          <w:rFonts w:ascii="Times New Roman" w:eastAsia="Times New Roman" w:hAnsi="Times New Roman"/>
          <w:bCs/>
          <w:sz w:val="24"/>
          <w:szCs w:val="24"/>
          <w:lang w:eastAsia="bg-BG"/>
        </w:rPr>
        <w:t>и</w:t>
      </w:r>
      <w:r w:rsidR="00E44E27" w:rsidRPr="00B67AF6">
        <w:rPr>
          <w:rFonts w:ascii="Times New Roman" w:eastAsia="Times New Roman" w:hAnsi="Times New Roman"/>
          <w:bCs/>
          <w:sz w:val="24"/>
          <w:szCs w:val="24"/>
          <w:lang w:eastAsia="bg-BG"/>
        </w:rPr>
        <w:t>те предложения</w:t>
      </w:r>
      <w:r w:rsidRPr="00B67AF6">
        <w:rPr>
          <w:rFonts w:ascii="Times New Roman" w:eastAsia="Times New Roman" w:hAnsi="Times New Roman"/>
          <w:bCs/>
          <w:sz w:val="24"/>
          <w:szCs w:val="24"/>
          <w:lang w:eastAsia="bg-BG"/>
        </w:rPr>
        <w:t xml:space="preserve"> с разпоредбите, приложими към генериращи приходи проекти.</w:t>
      </w:r>
    </w:p>
    <w:p w:rsidR="00B226AF" w:rsidRPr="00B67AF6" w:rsidRDefault="00064FD6" w:rsidP="00DE52C6">
      <w:pPr>
        <w:pStyle w:val="ListParagraph"/>
        <w:spacing w:before="120" w:after="120" w:line="360" w:lineRule="auto"/>
        <w:ind w:left="0" w:firstLine="720"/>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Във връзка с гореизложеното са въведени следните нови критерии</w:t>
      </w:r>
      <w:r w:rsidR="002A552D" w:rsidRPr="00B67AF6">
        <w:rPr>
          <w:rFonts w:ascii="Times New Roman" w:eastAsia="Times New Roman" w:hAnsi="Times New Roman"/>
          <w:bCs/>
          <w:sz w:val="24"/>
          <w:szCs w:val="24"/>
          <w:lang w:eastAsia="bg-BG"/>
        </w:rPr>
        <w:t xml:space="preserve"> или са изменени предходни такива</w:t>
      </w:r>
      <w:r w:rsidRPr="00B67AF6">
        <w:rPr>
          <w:rFonts w:ascii="Times New Roman" w:eastAsia="Times New Roman" w:hAnsi="Times New Roman"/>
          <w:bCs/>
          <w:sz w:val="24"/>
          <w:szCs w:val="24"/>
          <w:lang w:eastAsia="bg-BG"/>
        </w:rPr>
        <w:t>:</w:t>
      </w:r>
    </w:p>
    <w:p w:rsidR="00246AEC" w:rsidRPr="00B67AF6" w:rsidRDefault="00246AEC" w:rsidP="00DE52C6">
      <w:pPr>
        <w:pStyle w:val="ListParagraph"/>
        <w:numPr>
          <w:ilvl w:val="0"/>
          <w:numId w:val="8"/>
        </w:numPr>
        <w:spacing w:before="120" w:after="120" w:line="360" w:lineRule="auto"/>
        <w:ind w:left="284" w:firstLine="0"/>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 xml:space="preserve">По т. 1: </w:t>
      </w:r>
      <w:r w:rsidR="00DB6992" w:rsidRPr="00B67AF6">
        <w:rPr>
          <w:rFonts w:ascii="Times New Roman" w:eastAsia="Times New Roman" w:hAnsi="Times New Roman"/>
          <w:bCs/>
          <w:sz w:val="24"/>
          <w:szCs w:val="24"/>
          <w:lang w:eastAsia="bg-BG"/>
        </w:rPr>
        <w:t>Представена е адекватна финансова обосновка за реалистичност и съответствие с пазарните цени за всеки разход в проектното предложение</w:t>
      </w:r>
      <w:r w:rsidR="000B1552" w:rsidRPr="00B67AF6">
        <w:rPr>
          <w:rFonts w:ascii="Times New Roman" w:eastAsia="Times New Roman" w:hAnsi="Times New Roman"/>
          <w:bCs/>
          <w:sz w:val="24"/>
          <w:szCs w:val="24"/>
          <w:lang w:eastAsia="bg-BG"/>
        </w:rPr>
        <w:t>.</w:t>
      </w:r>
      <w:r w:rsidR="002A552D" w:rsidRPr="00B67AF6">
        <w:rPr>
          <w:rFonts w:ascii="Times New Roman" w:eastAsia="Times New Roman" w:hAnsi="Times New Roman"/>
          <w:bCs/>
          <w:sz w:val="24"/>
          <w:szCs w:val="24"/>
          <w:lang w:eastAsia="bg-BG"/>
        </w:rPr>
        <w:t xml:space="preserve"> </w:t>
      </w:r>
    </w:p>
    <w:p w:rsidR="00DB6992" w:rsidRPr="00B67AF6" w:rsidRDefault="00246AEC" w:rsidP="00DE52C6">
      <w:pPr>
        <w:pStyle w:val="ListParagraph"/>
        <w:numPr>
          <w:ilvl w:val="0"/>
          <w:numId w:val="8"/>
        </w:numPr>
        <w:spacing w:before="120" w:after="120" w:line="360" w:lineRule="auto"/>
        <w:ind w:left="284" w:firstLine="0"/>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По т. 2:</w:t>
      </w:r>
    </w:p>
    <w:p w:rsidR="00DB6992" w:rsidRPr="00B67AF6" w:rsidRDefault="00246AEC" w:rsidP="00DE52C6">
      <w:pPr>
        <w:pStyle w:val="ListParagraph"/>
        <w:numPr>
          <w:ilvl w:val="1"/>
          <w:numId w:val="8"/>
        </w:numPr>
        <w:spacing w:before="120" w:after="120" w:line="360" w:lineRule="auto"/>
        <w:ind w:left="1134"/>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 xml:space="preserve"> Бенефициентът доказва, че разполага с капацитет за изпълнение и мониторинг </w:t>
      </w:r>
      <w:r w:rsidR="002A552D" w:rsidRPr="00B67AF6">
        <w:rPr>
          <w:rFonts w:ascii="Times New Roman" w:eastAsia="Times New Roman" w:hAnsi="Times New Roman"/>
          <w:bCs/>
          <w:sz w:val="24"/>
          <w:szCs w:val="24"/>
          <w:lang w:eastAsia="bg-BG"/>
        </w:rPr>
        <w:t>–</w:t>
      </w:r>
      <w:r w:rsidRPr="00B67AF6">
        <w:rPr>
          <w:rFonts w:ascii="Times New Roman" w:eastAsia="Times New Roman" w:hAnsi="Times New Roman"/>
          <w:bCs/>
          <w:sz w:val="24"/>
          <w:szCs w:val="24"/>
          <w:lang w:eastAsia="bg-BG"/>
        </w:rPr>
        <w:t xml:space="preserve"> достатъчен управленски, технически и финансов капацитет на кандидата и капацитет за вътрешен мониторинг на изпълнението</w:t>
      </w:r>
      <w:r w:rsidR="000B1552" w:rsidRPr="00B67AF6">
        <w:rPr>
          <w:rFonts w:ascii="Times New Roman" w:eastAsia="Times New Roman" w:hAnsi="Times New Roman"/>
          <w:bCs/>
          <w:sz w:val="24"/>
          <w:szCs w:val="24"/>
          <w:lang w:eastAsia="bg-BG"/>
        </w:rPr>
        <w:t>.</w:t>
      </w:r>
      <w:r w:rsidR="00DB6992" w:rsidRPr="00B67AF6">
        <w:rPr>
          <w:rFonts w:ascii="Times New Roman" w:eastAsia="Times New Roman" w:hAnsi="Times New Roman"/>
          <w:bCs/>
          <w:sz w:val="24"/>
          <w:szCs w:val="24"/>
          <w:lang w:eastAsia="bg-BG"/>
        </w:rPr>
        <w:t xml:space="preserve"> </w:t>
      </w:r>
    </w:p>
    <w:p w:rsidR="00246AEC" w:rsidRPr="00B67AF6" w:rsidRDefault="00DB6992" w:rsidP="00DE52C6">
      <w:pPr>
        <w:pStyle w:val="ListParagraph"/>
        <w:numPr>
          <w:ilvl w:val="1"/>
          <w:numId w:val="8"/>
        </w:numPr>
        <w:spacing w:before="120" w:after="120" w:line="360" w:lineRule="auto"/>
        <w:ind w:left="1134"/>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 xml:space="preserve">Приложени са автобиографии на членовете на екипа на проекта, които отговарят на изискванията на процедурата. </w:t>
      </w:r>
    </w:p>
    <w:p w:rsidR="00E44E27" w:rsidRPr="00B67AF6" w:rsidRDefault="00E44E27" w:rsidP="00DE52C6">
      <w:pPr>
        <w:pStyle w:val="ListParagraph"/>
        <w:numPr>
          <w:ilvl w:val="0"/>
          <w:numId w:val="8"/>
        </w:numPr>
        <w:spacing w:before="120" w:after="120" w:line="360" w:lineRule="auto"/>
        <w:ind w:left="284" w:firstLine="0"/>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 xml:space="preserve">По т. 3: </w:t>
      </w:r>
      <w:r w:rsidR="002A552D" w:rsidRPr="00B67AF6">
        <w:rPr>
          <w:rFonts w:ascii="Times New Roman" w:eastAsia="Times New Roman" w:hAnsi="Times New Roman"/>
          <w:bCs/>
          <w:sz w:val="24"/>
          <w:szCs w:val="24"/>
          <w:lang w:eastAsia="bg-BG"/>
        </w:rPr>
        <w:t xml:space="preserve">Приложено е копие на </w:t>
      </w:r>
      <w:r w:rsidR="002A552D" w:rsidRPr="00B67AF6">
        <w:rPr>
          <w:rFonts w:ascii="Times New Roman" w:eastAsia="Times New Roman" w:hAnsi="Times New Roman"/>
          <w:bCs/>
          <w:iCs/>
          <w:sz w:val="24"/>
          <w:szCs w:val="24"/>
          <w:lang w:eastAsia="bg-BG" w:bidi="bg-BG"/>
        </w:rPr>
        <w:t>подписаните договори между общин</w:t>
      </w:r>
      <w:r w:rsidR="00DB6992" w:rsidRPr="00B67AF6">
        <w:rPr>
          <w:rFonts w:ascii="Times New Roman" w:eastAsia="Times New Roman" w:hAnsi="Times New Roman"/>
          <w:bCs/>
          <w:iCs/>
          <w:sz w:val="24"/>
          <w:szCs w:val="24"/>
          <w:lang w:eastAsia="bg-BG" w:bidi="bg-BG"/>
        </w:rPr>
        <w:t>ата бенефициент</w:t>
      </w:r>
      <w:r w:rsidR="002A552D" w:rsidRPr="00B67AF6">
        <w:rPr>
          <w:rFonts w:ascii="Times New Roman" w:eastAsia="Times New Roman" w:hAnsi="Times New Roman"/>
          <w:bCs/>
          <w:iCs/>
          <w:sz w:val="24"/>
          <w:szCs w:val="24"/>
          <w:lang w:eastAsia="bg-BG" w:bidi="bg-BG"/>
        </w:rPr>
        <w:t xml:space="preserve"> и сдруженията на собствениците на самостоятелни обекти в сградите, обект на интервенция, което е в съответствие с образеца в Насоките за кандидатстване</w:t>
      </w:r>
      <w:r w:rsidR="000B1552" w:rsidRPr="00B67AF6">
        <w:rPr>
          <w:rFonts w:ascii="Times New Roman" w:eastAsia="Times New Roman" w:hAnsi="Times New Roman"/>
          <w:bCs/>
          <w:iCs/>
          <w:sz w:val="24"/>
          <w:szCs w:val="24"/>
          <w:lang w:eastAsia="bg-BG" w:bidi="bg-BG"/>
        </w:rPr>
        <w:t>.</w:t>
      </w:r>
    </w:p>
    <w:p w:rsidR="00E44E27" w:rsidRPr="00B67AF6" w:rsidRDefault="00E44E27" w:rsidP="00DE52C6">
      <w:pPr>
        <w:pStyle w:val="ListParagraph"/>
        <w:numPr>
          <w:ilvl w:val="0"/>
          <w:numId w:val="8"/>
        </w:numPr>
        <w:spacing w:before="120" w:after="120" w:line="360" w:lineRule="auto"/>
        <w:ind w:left="284" w:firstLine="0"/>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 xml:space="preserve">По т. 4: </w:t>
      </w:r>
      <w:r w:rsidR="002A552D" w:rsidRPr="00B67AF6">
        <w:rPr>
          <w:rFonts w:ascii="Times New Roman" w:eastAsia="Times New Roman" w:hAnsi="Times New Roman"/>
          <w:bCs/>
          <w:sz w:val="24"/>
          <w:szCs w:val="24"/>
          <w:lang w:eastAsia="bg-BG"/>
        </w:rPr>
        <w:t>Приложена е декларация от собственика на сградния фонд, с която се гарантира, че съответната институция ще има възможност да използва сградата за период, не по-малък от 5 години след крайното плащане към бенефициента</w:t>
      </w:r>
      <w:r w:rsidR="000B1552" w:rsidRPr="00B67AF6">
        <w:rPr>
          <w:rFonts w:ascii="Times New Roman" w:eastAsia="Times New Roman" w:hAnsi="Times New Roman"/>
          <w:bCs/>
          <w:sz w:val="24"/>
          <w:szCs w:val="24"/>
          <w:lang w:eastAsia="bg-BG"/>
        </w:rPr>
        <w:t>.</w:t>
      </w:r>
    </w:p>
    <w:p w:rsidR="00246AEC" w:rsidRPr="00B67AF6" w:rsidRDefault="00246AEC" w:rsidP="00DE52C6">
      <w:pPr>
        <w:pStyle w:val="ListParagraph"/>
        <w:numPr>
          <w:ilvl w:val="0"/>
          <w:numId w:val="8"/>
        </w:numPr>
        <w:spacing w:before="120" w:after="120" w:line="360" w:lineRule="auto"/>
        <w:ind w:left="284" w:firstLine="0"/>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 xml:space="preserve">По т. 5: </w:t>
      </w:r>
    </w:p>
    <w:p w:rsidR="002A552D" w:rsidRPr="00B67AF6" w:rsidRDefault="002A552D" w:rsidP="00DE52C6">
      <w:pPr>
        <w:pStyle w:val="ListParagraph"/>
        <w:numPr>
          <w:ilvl w:val="1"/>
          <w:numId w:val="8"/>
        </w:numPr>
        <w:spacing w:before="120" w:after="120" w:line="360" w:lineRule="auto"/>
        <w:ind w:left="1134"/>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lastRenderedPageBreak/>
        <w:t>Разходите за ДДС, финансирани чрез БФП, са допустими за финансиране в съответствие с Насоките за кандидатстване</w:t>
      </w:r>
      <w:r w:rsidR="000B1552" w:rsidRPr="00B67AF6">
        <w:rPr>
          <w:rFonts w:ascii="Times New Roman" w:eastAsia="Times New Roman" w:hAnsi="Times New Roman"/>
          <w:bCs/>
          <w:sz w:val="24"/>
          <w:szCs w:val="24"/>
          <w:lang w:eastAsia="bg-BG"/>
        </w:rPr>
        <w:t>.</w:t>
      </w:r>
    </w:p>
    <w:p w:rsidR="00064FD6" w:rsidRPr="00B67AF6" w:rsidRDefault="00246AEC" w:rsidP="00DE52C6">
      <w:pPr>
        <w:pStyle w:val="ListParagraph"/>
        <w:numPr>
          <w:ilvl w:val="1"/>
          <w:numId w:val="8"/>
        </w:numPr>
        <w:spacing w:before="120" w:after="120" w:line="360" w:lineRule="auto"/>
        <w:ind w:left="1134"/>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Приложена е декларация от кандидата за начисляване/ неначисляване на ДДС върху наема за самостоятелни обекти, общинска собственост, предоставени за ползване за жилищни нужди на физически лица</w:t>
      </w:r>
      <w:r w:rsidR="000B1552" w:rsidRPr="00B67AF6">
        <w:rPr>
          <w:rFonts w:ascii="Times New Roman" w:eastAsia="Times New Roman" w:hAnsi="Times New Roman"/>
          <w:bCs/>
          <w:sz w:val="24"/>
          <w:szCs w:val="24"/>
          <w:lang w:eastAsia="bg-BG"/>
        </w:rPr>
        <w:t>.</w:t>
      </w:r>
    </w:p>
    <w:p w:rsidR="002A552D" w:rsidRPr="00B67AF6" w:rsidRDefault="002A552D" w:rsidP="00DE52C6">
      <w:pPr>
        <w:pStyle w:val="ListParagraph"/>
        <w:numPr>
          <w:ilvl w:val="0"/>
          <w:numId w:val="10"/>
        </w:numPr>
        <w:spacing w:before="120" w:after="120" w:line="360" w:lineRule="auto"/>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 xml:space="preserve">По т. 6: </w:t>
      </w:r>
      <w:r w:rsidR="00E019CE" w:rsidRPr="00B67AF6">
        <w:rPr>
          <w:rFonts w:ascii="Times New Roman" w:eastAsia="Times New Roman" w:hAnsi="Times New Roman"/>
          <w:bCs/>
          <w:sz w:val="24"/>
          <w:szCs w:val="24"/>
          <w:lang w:eastAsia="bg-BG"/>
        </w:rPr>
        <w:t>Изтрит е критерий „Финансовият анализ е изготвен съгласно насоките на Европейската комисия и размерът на исканата БФП съответства на анализа“, от който не става ясно какво точно включва проверката по критерия и са добавени нови 6 конкретни критерия, както следва:</w:t>
      </w:r>
    </w:p>
    <w:p w:rsidR="00DB6992" w:rsidRPr="00B67AF6" w:rsidRDefault="00DB6992" w:rsidP="00DE52C6">
      <w:pPr>
        <w:pStyle w:val="ListParagraph"/>
        <w:numPr>
          <w:ilvl w:val="1"/>
          <w:numId w:val="8"/>
        </w:numPr>
        <w:spacing w:before="120" w:after="120" w:line="360" w:lineRule="auto"/>
        <w:ind w:left="1134"/>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Размерът на допустимите/недопустими разходи в представения финансов анализ съответства на посочените в бюджета допустими/недопустими разходи и на разходите съгласно представените КСС и технически спецификации</w:t>
      </w:r>
    </w:p>
    <w:p w:rsidR="00DB6992" w:rsidRPr="00B67AF6" w:rsidRDefault="00DB6992" w:rsidP="00DE52C6">
      <w:pPr>
        <w:pStyle w:val="ListParagraph"/>
        <w:numPr>
          <w:ilvl w:val="1"/>
          <w:numId w:val="8"/>
        </w:numPr>
        <w:spacing w:before="120" w:after="120" w:line="360" w:lineRule="auto"/>
        <w:ind w:left="1134"/>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Използваната норма на дисконтиране (discount rate) съответства на препоръчаната в Насоките на ЕК от декември 2014 г. за изготвяне на Анализ разходи-ползи на инвестиционни проекти (4%)</w:t>
      </w:r>
    </w:p>
    <w:p w:rsidR="00DB6992" w:rsidRPr="00B67AF6" w:rsidRDefault="00DB6992" w:rsidP="00DE52C6">
      <w:pPr>
        <w:pStyle w:val="ListParagraph"/>
        <w:numPr>
          <w:ilvl w:val="1"/>
          <w:numId w:val="8"/>
        </w:numPr>
        <w:spacing w:before="120" w:after="120" w:line="360" w:lineRule="auto"/>
        <w:ind w:left="1134"/>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Финансовият анализ доказва, че приносът от ЕФРР е необходим за осигуряване на финансовата жизнеспособност на проекта: финансова нетна норма на възвръщаемост на инвестицията (FRR/C) &lt; 4%, финансова нетна настояща стойност (FNPV/C) &lt; 0).</w:t>
      </w:r>
    </w:p>
    <w:p w:rsidR="00DB6992" w:rsidRPr="00B67AF6" w:rsidRDefault="00DB6992" w:rsidP="00DE52C6">
      <w:pPr>
        <w:pStyle w:val="ListParagraph"/>
        <w:numPr>
          <w:ilvl w:val="1"/>
          <w:numId w:val="8"/>
        </w:numPr>
        <w:spacing w:before="120" w:after="120" w:line="360" w:lineRule="auto"/>
        <w:ind w:left="1134"/>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Изчисленията във финансовия анализ са добре обосновани и правилни, като са използвани подходящи допускания и базови данни, чиито източници са посочени.</w:t>
      </w:r>
    </w:p>
    <w:p w:rsidR="00DB6992" w:rsidRPr="00B67AF6" w:rsidRDefault="00DB6992" w:rsidP="00DE52C6">
      <w:pPr>
        <w:pStyle w:val="ListParagraph"/>
        <w:numPr>
          <w:ilvl w:val="1"/>
          <w:numId w:val="8"/>
        </w:numPr>
        <w:spacing w:before="120" w:after="120" w:line="360" w:lineRule="auto"/>
        <w:ind w:left="1134"/>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Представеният финансов анализ демонстрира финансовата устойчивост на инвестицията, включително осигурява достатъчно средства за подмяна на недълготрайно оборудване и за поддържане на изградената инфраструктура.</w:t>
      </w:r>
    </w:p>
    <w:p w:rsidR="00DB6992" w:rsidRPr="00B67AF6" w:rsidRDefault="00DB6992" w:rsidP="00DE52C6">
      <w:pPr>
        <w:pStyle w:val="ListParagraph"/>
        <w:numPr>
          <w:ilvl w:val="1"/>
          <w:numId w:val="8"/>
        </w:numPr>
        <w:spacing w:before="120" w:after="120" w:line="360" w:lineRule="auto"/>
        <w:ind w:left="1134"/>
        <w:contextualSpacing w:val="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Размерът на БФП и стойността на съфинансирането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w:t>
      </w:r>
    </w:p>
    <w:p w:rsidR="000977A2" w:rsidRPr="00B67AF6" w:rsidRDefault="000977A2" w:rsidP="00DE52C6">
      <w:pPr>
        <w:spacing w:before="120" w:after="120" w:line="360" w:lineRule="auto"/>
        <w:ind w:firstLine="72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lastRenderedPageBreak/>
        <w:t xml:space="preserve">Критерии „Приложени са всички задължително изискуеми документи за кандидатстване, в изискания формат, подписани с универсалния електронен подпис на лицето, представляващо кандидата, или оправомощено за целите на подаване на проектното предложение лице“ и „Приложени са всички разрешителни и/или </w:t>
      </w:r>
      <w:proofErr w:type="spellStart"/>
      <w:r w:rsidRPr="00B67AF6">
        <w:rPr>
          <w:rFonts w:ascii="Times New Roman" w:eastAsia="Times New Roman" w:hAnsi="Times New Roman"/>
          <w:bCs/>
          <w:sz w:val="24"/>
          <w:szCs w:val="24"/>
          <w:lang w:eastAsia="bg-BG"/>
        </w:rPr>
        <w:t>съгласувателни</w:t>
      </w:r>
      <w:proofErr w:type="spellEnd"/>
      <w:r w:rsidRPr="00B67AF6">
        <w:rPr>
          <w:rFonts w:ascii="Times New Roman" w:eastAsia="Times New Roman" w:hAnsi="Times New Roman"/>
          <w:bCs/>
          <w:sz w:val="24"/>
          <w:szCs w:val="24"/>
          <w:lang w:eastAsia="bg-BG"/>
        </w:rPr>
        <w:t xml:space="preserve"> документи от съответните институции (ако са необходими такива съгласно българското законодателство)“ са изтрити, предвид че същите обхващат проверка на различен вид документи, които са описани като отделни критерии за административно съответствие и допустимост и не носят добавена стойност към извършваните проверки.</w:t>
      </w:r>
    </w:p>
    <w:p w:rsidR="003E48B9" w:rsidRPr="00B67AF6" w:rsidRDefault="0069697A" w:rsidP="00DE52C6">
      <w:pPr>
        <w:spacing w:before="120" w:after="120" w:line="360" w:lineRule="auto"/>
        <w:ind w:firstLine="72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В</w:t>
      </w:r>
      <w:r w:rsidR="00246AEC" w:rsidRPr="00B67AF6">
        <w:rPr>
          <w:rFonts w:ascii="Times New Roman" w:eastAsia="Times New Roman" w:hAnsi="Times New Roman"/>
          <w:bCs/>
          <w:sz w:val="24"/>
          <w:szCs w:val="24"/>
          <w:lang w:eastAsia="bg-BG"/>
        </w:rPr>
        <w:t xml:space="preserve"> допълнение, в</w:t>
      </w:r>
      <w:r w:rsidRPr="00B67AF6">
        <w:rPr>
          <w:rFonts w:ascii="Times New Roman" w:eastAsia="Times New Roman" w:hAnsi="Times New Roman"/>
          <w:bCs/>
          <w:sz w:val="24"/>
          <w:szCs w:val="24"/>
          <w:lang w:eastAsia="bg-BG"/>
        </w:rPr>
        <w:t>ъв връзка с получена констатация относно подаване на всички документи (вкл. техническа документация) на етапа на кандидатстване чрез системата ИСУН 2020, са изменени критериите, включващи представяне на документи на хартиен носител</w:t>
      </w:r>
      <w:r w:rsidR="00432CA8" w:rsidRPr="00B67AF6">
        <w:rPr>
          <w:rFonts w:ascii="Times New Roman" w:eastAsia="Times New Roman" w:hAnsi="Times New Roman"/>
          <w:bCs/>
          <w:sz w:val="24"/>
          <w:szCs w:val="24"/>
          <w:lang w:eastAsia="bg-BG"/>
        </w:rPr>
        <w:t>, както следва:</w:t>
      </w:r>
    </w:p>
    <w:p w:rsidR="00432CA8" w:rsidRPr="00B67AF6" w:rsidRDefault="00B07132" w:rsidP="00DE52C6">
      <w:pPr>
        <w:pStyle w:val="ListParagraph"/>
        <w:numPr>
          <w:ilvl w:val="0"/>
          <w:numId w:val="11"/>
        </w:numPr>
        <w:spacing w:before="120" w:after="120" w:line="360" w:lineRule="auto"/>
        <w:ind w:left="1134"/>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Представен е Технически/работен проект (ако за обектите има разработени пълни инвестиционни проекти към момента на кандидатстване);</w:t>
      </w:r>
    </w:p>
    <w:p w:rsidR="00B07132" w:rsidRPr="00B67AF6" w:rsidRDefault="00B07132" w:rsidP="00DE52C6">
      <w:pPr>
        <w:pStyle w:val="ListParagraph"/>
        <w:numPr>
          <w:ilvl w:val="0"/>
          <w:numId w:val="11"/>
        </w:numPr>
        <w:spacing w:before="120" w:after="120" w:line="360" w:lineRule="auto"/>
        <w:ind w:left="1134"/>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Представена е обща ситуация на проекта (схема, чертеж) с обяснителна записка, заверени от главния архитект (ако за обектите няма разработени пълни инвестиционни проекти към момента на кандидатстване).</w:t>
      </w:r>
    </w:p>
    <w:p w:rsidR="00123D00" w:rsidRPr="00B67AF6" w:rsidRDefault="00123D00" w:rsidP="00DE52C6">
      <w:pPr>
        <w:spacing w:before="120" w:after="120" w:line="360" w:lineRule="auto"/>
        <w:ind w:firstLine="72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 xml:space="preserve">По отношение на </w:t>
      </w:r>
      <w:r w:rsidRPr="00B67AF6">
        <w:rPr>
          <w:rFonts w:ascii="Times New Roman" w:eastAsia="Times New Roman" w:hAnsi="Times New Roman"/>
          <w:b/>
          <w:bCs/>
          <w:i/>
          <w:sz w:val="24"/>
          <w:szCs w:val="24"/>
          <w:lang w:eastAsia="bg-BG"/>
        </w:rPr>
        <w:t>проектни предложения за енергийна ефективност на жилищни сгради</w:t>
      </w:r>
      <w:r w:rsidRPr="00B67AF6">
        <w:rPr>
          <w:rFonts w:ascii="Times New Roman" w:eastAsia="Times New Roman" w:hAnsi="Times New Roman"/>
          <w:bCs/>
          <w:sz w:val="24"/>
          <w:szCs w:val="24"/>
          <w:lang w:eastAsia="bg-BG"/>
        </w:rPr>
        <w:t xml:space="preserve"> е допълнен нов критерий във връзка с констатация на Одитния орган относно подбора на жилищни сгради, включени в проектните предложения, и проведената информационна кампания преди подаване на проектното предложение</w:t>
      </w:r>
      <w:r w:rsidR="0082178A" w:rsidRPr="00B67AF6">
        <w:rPr>
          <w:rFonts w:ascii="Times New Roman" w:eastAsia="Times New Roman" w:hAnsi="Times New Roman"/>
          <w:bCs/>
          <w:sz w:val="24"/>
          <w:szCs w:val="24"/>
          <w:lang w:eastAsia="bg-BG"/>
        </w:rPr>
        <w:t xml:space="preserve">, а именно: </w:t>
      </w:r>
      <w:r w:rsidR="004C603A" w:rsidRPr="00B67AF6">
        <w:rPr>
          <w:rFonts w:ascii="Times New Roman" w:eastAsia="Times New Roman" w:hAnsi="Times New Roman"/>
          <w:bCs/>
          <w:sz w:val="24"/>
          <w:szCs w:val="24"/>
          <w:lang w:eastAsia="bg-BG"/>
        </w:rPr>
        <w:t>„Приложени са доказателствени материали от кандидата относно проведени публична и прозрачна информационна кампания преди подаване на проектното предложение и недискриминационен подбор на включените в проектното предложение жилищни сгради в съответствие с Приложение Н към Насоките за кандидатстване“.</w:t>
      </w:r>
    </w:p>
    <w:p w:rsidR="000964E5" w:rsidRPr="00B67AF6" w:rsidRDefault="000964E5" w:rsidP="000964E5">
      <w:pPr>
        <w:spacing w:before="120" w:after="120" w:line="360" w:lineRule="auto"/>
        <w:ind w:firstLine="720"/>
        <w:jc w:val="both"/>
        <w:rPr>
          <w:rFonts w:ascii="Times New Roman" w:hAnsi="Times New Roman"/>
          <w:sz w:val="24"/>
          <w:szCs w:val="24"/>
        </w:rPr>
      </w:pPr>
      <w:r w:rsidRPr="00B67AF6">
        <w:rPr>
          <w:rFonts w:ascii="Times New Roman" w:eastAsia="Times New Roman" w:hAnsi="Times New Roman"/>
          <w:bCs/>
          <w:sz w:val="24"/>
          <w:szCs w:val="24"/>
          <w:lang w:eastAsia="bg-BG"/>
        </w:rPr>
        <w:t xml:space="preserve">Част от критериите за оценка, свързани със съответствие на обектите на интервенция с Интегрираните планове за градско възстановяване и развитие, се изменят или отпадат поради промяна на концепцията за подбор на проектни идеи по приоритетна ос 1 и включването им като критерии за допустимост на етапа на подбор на </w:t>
      </w:r>
      <w:r w:rsidRPr="00B67AF6">
        <w:rPr>
          <w:rFonts w:ascii="Times New Roman" w:hAnsi="Times New Roman"/>
          <w:sz w:val="24"/>
          <w:szCs w:val="24"/>
        </w:rPr>
        <w:t>проектни фишове от Работната група за подбор на проектни идеи (обекти), както следва:</w:t>
      </w:r>
    </w:p>
    <w:p w:rsidR="000964E5" w:rsidRPr="00B67AF6" w:rsidRDefault="000964E5" w:rsidP="000964E5">
      <w:pPr>
        <w:pStyle w:val="ListParagraph"/>
        <w:numPr>
          <w:ilvl w:val="0"/>
          <w:numId w:val="12"/>
        </w:numPr>
        <w:spacing w:before="120" w:after="120" w:line="360" w:lineRule="auto"/>
        <w:ind w:left="851"/>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lastRenderedPageBreak/>
        <w:t xml:space="preserve">Отпадат критериите за проверка, че обектите на интервенция са в програмата за реализация на ИПГВР </w:t>
      </w:r>
      <w:r w:rsidRPr="00B67AF6">
        <w:rPr>
          <w:rFonts w:ascii="Times New Roman" w:eastAsia="Times New Roman" w:hAnsi="Times New Roman"/>
          <w:b/>
          <w:bCs/>
          <w:i/>
          <w:sz w:val="24"/>
          <w:szCs w:val="24"/>
          <w:lang w:eastAsia="bg-BG"/>
        </w:rPr>
        <w:t>или</w:t>
      </w:r>
      <w:r w:rsidRPr="00B67AF6">
        <w:rPr>
          <w:rFonts w:ascii="Times New Roman" w:eastAsia="Times New Roman" w:hAnsi="Times New Roman"/>
          <w:bCs/>
          <w:sz w:val="24"/>
          <w:szCs w:val="24"/>
          <w:lang w:eastAsia="bg-BG"/>
        </w:rPr>
        <w:t xml:space="preserve"> са в зони на въздействие от ИПГВР, одобрени от УО на ОПРР </w:t>
      </w:r>
      <w:r w:rsidRPr="00B67AF6">
        <w:rPr>
          <w:rFonts w:ascii="Times New Roman" w:eastAsia="Times New Roman" w:hAnsi="Times New Roman"/>
          <w:b/>
          <w:bCs/>
          <w:i/>
          <w:sz w:val="24"/>
          <w:szCs w:val="24"/>
          <w:lang w:eastAsia="bg-BG"/>
        </w:rPr>
        <w:t>или</w:t>
      </w:r>
      <w:r w:rsidRPr="00B67AF6">
        <w:rPr>
          <w:rFonts w:ascii="Times New Roman" w:eastAsia="Times New Roman" w:hAnsi="Times New Roman"/>
          <w:bCs/>
          <w:sz w:val="24"/>
          <w:szCs w:val="24"/>
          <w:lang w:eastAsia="bg-BG"/>
        </w:rPr>
        <w:t xml:space="preserve"> са в рамките на строителните граници на града </w:t>
      </w:r>
      <w:r w:rsidRPr="00B67AF6">
        <w:rPr>
          <w:rFonts w:ascii="Times New Roman" w:eastAsia="Times New Roman" w:hAnsi="Times New Roman"/>
          <w:b/>
          <w:bCs/>
          <w:i/>
          <w:sz w:val="24"/>
          <w:szCs w:val="24"/>
          <w:lang w:eastAsia="bg-BG"/>
        </w:rPr>
        <w:t>или</w:t>
      </w:r>
      <w:r w:rsidRPr="00B67AF6">
        <w:rPr>
          <w:rFonts w:ascii="Times New Roman" w:eastAsia="Times New Roman" w:hAnsi="Times New Roman"/>
          <w:bCs/>
          <w:sz w:val="24"/>
          <w:szCs w:val="24"/>
          <w:lang w:eastAsia="bg-BG"/>
        </w:rPr>
        <w:t xml:space="preserve"> са в 20-процентната гъвкавост по отношение осигуряването на функционални връзки на града с неговата периферия.</w:t>
      </w:r>
    </w:p>
    <w:p w:rsidR="000964E5" w:rsidRPr="00B67AF6" w:rsidRDefault="000964E5" w:rsidP="000964E5">
      <w:pPr>
        <w:pStyle w:val="ListParagraph"/>
        <w:numPr>
          <w:ilvl w:val="0"/>
          <w:numId w:val="12"/>
        </w:numPr>
        <w:spacing w:before="120" w:after="120" w:line="360" w:lineRule="auto"/>
        <w:ind w:left="851"/>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Добавя се нов критерий, че обектите на интервенция са включени в списък с проектни фишове, одобрени от Работната група за подбор на проектни идеи (обекти).</w:t>
      </w:r>
    </w:p>
    <w:p w:rsidR="00B152AD" w:rsidRPr="00B67AF6" w:rsidRDefault="00EF1869" w:rsidP="00DE52C6">
      <w:pPr>
        <w:spacing w:before="120" w:after="120" w:line="360" w:lineRule="auto"/>
        <w:ind w:firstLine="720"/>
        <w:jc w:val="both"/>
        <w:rPr>
          <w:rFonts w:ascii="Times New Roman" w:eastAsia="Times New Roman" w:hAnsi="Times New Roman"/>
          <w:bCs/>
          <w:i/>
          <w:sz w:val="24"/>
          <w:szCs w:val="24"/>
          <w:lang w:eastAsia="bg-BG"/>
        </w:rPr>
      </w:pPr>
      <w:r w:rsidRPr="00B67AF6">
        <w:rPr>
          <w:rFonts w:ascii="Times New Roman" w:eastAsia="Times New Roman" w:hAnsi="Times New Roman"/>
          <w:bCs/>
          <w:sz w:val="24"/>
          <w:szCs w:val="24"/>
          <w:lang w:eastAsia="bg-BG"/>
        </w:rPr>
        <w:t>В допълнение, с</w:t>
      </w:r>
      <w:r w:rsidR="00B152AD" w:rsidRPr="00B67AF6">
        <w:rPr>
          <w:rFonts w:ascii="Times New Roman" w:eastAsia="Times New Roman" w:hAnsi="Times New Roman"/>
          <w:bCs/>
          <w:sz w:val="24"/>
          <w:szCs w:val="24"/>
          <w:lang w:eastAsia="bg-BG"/>
        </w:rPr>
        <w:t xml:space="preserve">лед съгласуване от страна на УО на ОПРР 2014-2020 на разработената от Фонда на фондовете техническа спецификация за </w:t>
      </w:r>
      <w:r w:rsidR="00B152AD" w:rsidRPr="00B67AF6">
        <w:rPr>
          <w:rFonts w:ascii="Times New Roman" w:eastAsia="Times New Roman" w:hAnsi="Times New Roman"/>
          <w:b/>
          <w:bCs/>
          <w:i/>
          <w:sz w:val="24"/>
          <w:szCs w:val="24"/>
          <w:lang w:eastAsia="bg-BG"/>
        </w:rPr>
        <w:t>избор на финансови посредници</w:t>
      </w:r>
      <w:r w:rsidR="00B152AD" w:rsidRPr="00B67AF6">
        <w:rPr>
          <w:rFonts w:ascii="Times New Roman" w:eastAsia="Times New Roman" w:hAnsi="Times New Roman"/>
          <w:bCs/>
          <w:sz w:val="24"/>
          <w:szCs w:val="24"/>
          <w:lang w:eastAsia="bg-BG"/>
        </w:rPr>
        <w:t xml:space="preserve">, е коригиран и критерият, свързан с проектите, </w:t>
      </w:r>
      <w:r w:rsidR="00D65A0C" w:rsidRPr="00B67AF6">
        <w:rPr>
          <w:rFonts w:ascii="Times New Roman" w:eastAsia="Times New Roman" w:hAnsi="Times New Roman"/>
          <w:bCs/>
          <w:sz w:val="24"/>
          <w:szCs w:val="24"/>
          <w:lang w:eastAsia="bg-BG"/>
        </w:rPr>
        <w:t>които ще бъдат финансирани с комбинация от БФП и финансови инструменти. Актуализираният критерий е следният: „Приложен е документ от финансов посредник за предоставяне на финансова помощ чрез финансов инструмент, създаден по линия на ОПРР 2014-2020“.</w:t>
      </w:r>
      <w:r w:rsidR="00224D3C" w:rsidRPr="00B67AF6">
        <w:rPr>
          <w:rFonts w:ascii="Times New Roman" w:eastAsia="Times New Roman" w:hAnsi="Times New Roman"/>
          <w:bCs/>
          <w:sz w:val="24"/>
          <w:szCs w:val="24"/>
          <w:lang w:eastAsia="bg-BG"/>
        </w:rPr>
        <w:t xml:space="preserve"> Изменението на Насоките за кандидатстване по процедурата ще </w:t>
      </w:r>
      <w:r w:rsidR="00C65749" w:rsidRPr="00B67AF6">
        <w:rPr>
          <w:rFonts w:ascii="Times New Roman" w:eastAsia="Times New Roman" w:hAnsi="Times New Roman"/>
          <w:bCs/>
          <w:sz w:val="24"/>
          <w:szCs w:val="24"/>
          <w:lang w:eastAsia="bg-BG"/>
        </w:rPr>
        <w:t xml:space="preserve">включва </w:t>
      </w:r>
      <w:r w:rsidR="00514368" w:rsidRPr="00B67AF6">
        <w:rPr>
          <w:rFonts w:ascii="Times New Roman" w:eastAsia="Times New Roman" w:hAnsi="Times New Roman"/>
          <w:bCs/>
          <w:sz w:val="24"/>
          <w:szCs w:val="24"/>
          <w:lang w:eastAsia="bg-BG"/>
        </w:rPr>
        <w:t xml:space="preserve">и </w:t>
      </w:r>
      <w:r w:rsidR="00C65749" w:rsidRPr="00B67AF6">
        <w:rPr>
          <w:rFonts w:ascii="Times New Roman" w:eastAsia="Times New Roman" w:hAnsi="Times New Roman"/>
          <w:bCs/>
          <w:sz w:val="24"/>
          <w:szCs w:val="24"/>
          <w:lang w:eastAsia="bg-BG"/>
        </w:rPr>
        <w:t xml:space="preserve">разработване на схема за приложимия режим на държавна помощ по отношение на проектните предложения, финансирани с комбинирано финансиране на БФП и финансов инструмент по линия на </w:t>
      </w:r>
      <w:r w:rsidR="00514368" w:rsidRPr="00B67AF6">
        <w:rPr>
          <w:rFonts w:ascii="Times New Roman" w:eastAsia="Times New Roman" w:hAnsi="Times New Roman"/>
          <w:bCs/>
          <w:sz w:val="24"/>
          <w:szCs w:val="24"/>
          <w:lang w:eastAsia="bg-BG"/>
        </w:rPr>
        <w:t>група дейности „Културна инфраструктура“.</w:t>
      </w:r>
      <w:r w:rsidR="0052651A" w:rsidRPr="00B67AF6">
        <w:rPr>
          <w:rFonts w:ascii="Times New Roman" w:eastAsia="Times New Roman" w:hAnsi="Times New Roman"/>
          <w:bCs/>
          <w:sz w:val="24"/>
          <w:szCs w:val="24"/>
          <w:lang w:eastAsia="bg-BG"/>
        </w:rPr>
        <w:t xml:space="preserve"> Посоченото изменение по отношение на приложимия режим на държавна помощ ще бъде съгласувано предварително с Министерство на финансите.</w:t>
      </w:r>
      <w:r w:rsidR="00C65749" w:rsidRPr="00B67AF6">
        <w:rPr>
          <w:rFonts w:ascii="Times New Roman" w:eastAsia="Times New Roman" w:hAnsi="Times New Roman"/>
          <w:bCs/>
          <w:sz w:val="24"/>
          <w:szCs w:val="24"/>
          <w:lang w:eastAsia="bg-BG"/>
        </w:rPr>
        <w:t xml:space="preserve"> </w:t>
      </w:r>
      <w:r w:rsidR="00DE52C6" w:rsidRPr="00B67AF6">
        <w:rPr>
          <w:rFonts w:ascii="Times New Roman" w:eastAsia="Times New Roman" w:hAnsi="Times New Roman"/>
          <w:bCs/>
          <w:sz w:val="24"/>
          <w:szCs w:val="24"/>
          <w:lang w:eastAsia="bg-BG"/>
        </w:rPr>
        <w:t xml:space="preserve">Подробно описание на механизма за комбинирано финансиране на проектни предложения с БФП и финансов инструмент </w:t>
      </w:r>
      <w:r w:rsidR="00C8267D" w:rsidRPr="00B67AF6">
        <w:rPr>
          <w:rFonts w:ascii="Times New Roman" w:eastAsia="Times New Roman" w:hAnsi="Times New Roman"/>
          <w:bCs/>
          <w:sz w:val="24"/>
          <w:szCs w:val="24"/>
          <w:lang w:eastAsia="bg-BG"/>
        </w:rPr>
        <w:t xml:space="preserve">е представено в приложение 1 </w:t>
      </w:r>
      <w:r w:rsidR="00C8267D" w:rsidRPr="00B67AF6">
        <w:rPr>
          <w:rFonts w:ascii="Times New Roman" w:eastAsia="Times New Roman" w:hAnsi="Times New Roman"/>
          <w:bCs/>
          <w:i/>
          <w:sz w:val="24"/>
          <w:szCs w:val="24"/>
          <w:lang w:eastAsia="bg-BG"/>
        </w:rPr>
        <w:t xml:space="preserve">„Комбинирано финансиране на БФП и Финансов инструмент“. </w:t>
      </w:r>
    </w:p>
    <w:p w:rsidR="0016614C" w:rsidRPr="00B67AF6" w:rsidRDefault="00487C83" w:rsidP="00DE52C6">
      <w:pPr>
        <w:spacing w:before="120" w:after="120" w:line="360" w:lineRule="auto"/>
        <w:ind w:firstLine="72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С оглед отразяване на отправените препоръки и осигуряване на съответствие със задължителните изисквания на нормативната уредба, част от критериите за техническа и финансова оценка са преместени като критерии за допустимост.</w:t>
      </w:r>
      <w:r w:rsidR="00C3249A" w:rsidRPr="00B67AF6">
        <w:rPr>
          <w:rFonts w:ascii="Times New Roman" w:eastAsia="Times New Roman" w:hAnsi="Times New Roman"/>
          <w:bCs/>
          <w:sz w:val="24"/>
          <w:szCs w:val="24"/>
          <w:lang w:eastAsia="bg-BG"/>
        </w:rPr>
        <w:t xml:space="preserve"> Такива критерии са критериите за оценка на капацитет</w:t>
      </w:r>
      <w:r w:rsidR="0016614C" w:rsidRPr="00B67AF6">
        <w:rPr>
          <w:rFonts w:ascii="Times New Roman" w:eastAsia="Times New Roman" w:hAnsi="Times New Roman"/>
          <w:bCs/>
          <w:sz w:val="24"/>
          <w:szCs w:val="24"/>
          <w:lang w:eastAsia="bg-BG"/>
        </w:rPr>
        <w:t xml:space="preserve"> на бенефициента за изпълнение и мониторинг на проекта</w:t>
      </w:r>
      <w:r w:rsidR="00C3249A" w:rsidRPr="00B67AF6">
        <w:rPr>
          <w:rFonts w:ascii="Times New Roman" w:eastAsia="Times New Roman" w:hAnsi="Times New Roman"/>
          <w:bCs/>
          <w:sz w:val="24"/>
          <w:szCs w:val="24"/>
          <w:lang w:eastAsia="bg-BG"/>
        </w:rPr>
        <w:t xml:space="preserve"> и за оценка на реалистичност на бюджета на проектното предложение</w:t>
      </w:r>
      <w:r w:rsidR="0016614C" w:rsidRPr="00B67AF6">
        <w:rPr>
          <w:rFonts w:ascii="Times New Roman" w:eastAsia="Times New Roman" w:hAnsi="Times New Roman"/>
          <w:bCs/>
          <w:sz w:val="24"/>
          <w:szCs w:val="24"/>
          <w:lang w:eastAsia="bg-BG"/>
        </w:rPr>
        <w:t>, ясна финансова обосновка на категориите разходи и икономическа ефективност и ефикасност</w:t>
      </w:r>
      <w:r w:rsidR="00C3249A" w:rsidRPr="00B67AF6">
        <w:rPr>
          <w:rFonts w:ascii="Times New Roman" w:eastAsia="Times New Roman" w:hAnsi="Times New Roman"/>
          <w:bCs/>
          <w:sz w:val="24"/>
          <w:szCs w:val="24"/>
          <w:lang w:eastAsia="bg-BG"/>
        </w:rPr>
        <w:t>.</w:t>
      </w:r>
      <w:r w:rsidRPr="00B67AF6">
        <w:rPr>
          <w:rFonts w:ascii="Times New Roman" w:eastAsia="Times New Roman" w:hAnsi="Times New Roman"/>
          <w:bCs/>
          <w:sz w:val="24"/>
          <w:szCs w:val="24"/>
          <w:lang w:eastAsia="bg-BG"/>
        </w:rPr>
        <w:t xml:space="preserve"> </w:t>
      </w:r>
      <w:r w:rsidR="0016614C" w:rsidRPr="00B67AF6">
        <w:rPr>
          <w:rFonts w:ascii="Times New Roman" w:eastAsia="Times New Roman" w:hAnsi="Times New Roman"/>
          <w:bCs/>
          <w:sz w:val="24"/>
          <w:szCs w:val="24"/>
          <w:lang w:eastAsia="bg-BG"/>
        </w:rPr>
        <w:t xml:space="preserve">Съгласно </w:t>
      </w:r>
      <w:proofErr w:type="spellStart"/>
      <w:r w:rsidR="0016614C" w:rsidRPr="00B67AF6">
        <w:rPr>
          <w:rFonts w:ascii="Times New Roman" w:eastAsia="Times New Roman" w:hAnsi="Times New Roman"/>
          <w:bCs/>
          <w:sz w:val="24"/>
          <w:szCs w:val="24"/>
          <w:lang w:eastAsia="bg-BG"/>
        </w:rPr>
        <w:t>одитните</w:t>
      </w:r>
      <w:proofErr w:type="spellEnd"/>
      <w:r w:rsidR="0016614C" w:rsidRPr="00B67AF6">
        <w:rPr>
          <w:rFonts w:ascii="Times New Roman" w:eastAsia="Times New Roman" w:hAnsi="Times New Roman"/>
          <w:bCs/>
          <w:sz w:val="24"/>
          <w:szCs w:val="24"/>
          <w:lang w:eastAsia="bg-BG"/>
        </w:rPr>
        <w:t xml:space="preserve"> препоръки проверката на тези критерии следва да се извършва на етап допустимост на проектното предложение, тъй като всеки един проект трябва да отговаря на посочените критерии, а именно – да разполага с необходимия </w:t>
      </w:r>
      <w:r w:rsidR="0016614C" w:rsidRPr="00B67AF6">
        <w:rPr>
          <w:rFonts w:ascii="Times New Roman" w:eastAsia="Times New Roman" w:hAnsi="Times New Roman"/>
          <w:bCs/>
          <w:sz w:val="24"/>
          <w:szCs w:val="24"/>
          <w:lang w:eastAsia="bg-BG"/>
        </w:rPr>
        <w:lastRenderedPageBreak/>
        <w:t>административен капацитет, както и с финансова обосновка и икономическа ефективност на отделните разходи, водеща до реалистичен бюджет.</w:t>
      </w:r>
    </w:p>
    <w:p w:rsidR="0016614C" w:rsidRPr="00B67AF6" w:rsidRDefault="0016614C" w:rsidP="00DE52C6">
      <w:pPr>
        <w:spacing w:before="120" w:after="120" w:line="360" w:lineRule="auto"/>
        <w:ind w:firstLine="72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Аналогично критерий „Проектът е в съответствие с хоризонталните политики на ЕО (устойчивото развитие)“ е изтрит от критериите за допустимост, тъй като в критериите има по-подробен критерий за техническа и финансова оценка – „Съответствие с хоризонталните политики на ЕС“.</w:t>
      </w:r>
    </w:p>
    <w:p w:rsidR="00487C83" w:rsidRPr="00B67AF6" w:rsidRDefault="00487C83" w:rsidP="00DE52C6">
      <w:pPr>
        <w:spacing w:before="120" w:after="120" w:line="360" w:lineRule="auto"/>
        <w:ind w:firstLine="72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 xml:space="preserve">Като следствие от </w:t>
      </w:r>
      <w:r w:rsidR="0016614C" w:rsidRPr="00B67AF6">
        <w:rPr>
          <w:rFonts w:ascii="Times New Roman" w:eastAsia="Times New Roman" w:hAnsi="Times New Roman"/>
          <w:bCs/>
          <w:sz w:val="24"/>
          <w:szCs w:val="24"/>
          <w:lang w:eastAsia="bg-BG"/>
        </w:rPr>
        <w:t>гореизложеното</w:t>
      </w:r>
      <w:r w:rsidRPr="00B67AF6">
        <w:rPr>
          <w:rFonts w:ascii="Times New Roman" w:eastAsia="Times New Roman" w:hAnsi="Times New Roman"/>
          <w:bCs/>
          <w:sz w:val="24"/>
          <w:szCs w:val="24"/>
          <w:lang w:eastAsia="bg-BG"/>
        </w:rPr>
        <w:t xml:space="preserve"> и с цел да бъдат запазени максималният брой точки и </w:t>
      </w:r>
      <w:r w:rsidR="0016614C" w:rsidRPr="00B67AF6">
        <w:rPr>
          <w:rFonts w:ascii="Times New Roman" w:eastAsia="Times New Roman" w:hAnsi="Times New Roman"/>
          <w:bCs/>
          <w:sz w:val="24"/>
          <w:szCs w:val="24"/>
          <w:lang w:eastAsia="bg-BG"/>
        </w:rPr>
        <w:t>броят точки</w:t>
      </w:r>
      <w:r w:rsidRPr="00B67AF6">
        <w:rPr>
          <w:rFonts w:ascii="Times New Roman" w:eastAsia="Times New Roman" w:hAnsi="Times New Roman"/>
          <w:bCs/>
          <w:sz w:val="24"/>
          <w:szCs w:val="24"/>
          <w:lang w:eastAsia="bg-BG"/>
        </w:rPr>
        <w:t xml:space="preserve">, над който проектните предложения се класират за финансиране, е променен броят точки, които получава всеки отделен критерий за техническа и финансова оценка. </w:t>
      </w:r>
    </w:p>
    <w:p w:rsidR="00A14AE2" w:rsidRPr="00B67AF6" w:rsidRDefault="006B4ED5" w:rsidP="00DE52C6">
      <w:pPr>
        <w:spacing w:before="120" w:after="120" w:line="360" w:lineRule="auto"/>
        <w:ind w:firstLine="72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В поле „Забележки“ е уточнено, че всеки оценител следва да посочва конкретният обект, за който се оценява критерият, както и да реферира към конкретните представени към проектното предложение документи и/или раздел от формуляра за кандидатстване с оглед осигуряване на одитна следа по извършената оценка.</w:t>
      </w:r>
      <w:r w:rsidR="00A14AE2" w:rsidRPr="00B67AF6">
        <w:t xml:space="preserve"> </w:t>
      </w:r>
      <w:r w:rsidR="00A14AE2" w:rsidRPr="00B67AF6">
        <w:rPr>
          <w:rFonts w:ascii="Times New Roman" w:eastAsia="Times New Roman" w:hAnsi="Times New Roman"/>
          <w:bCs/>
          <w:sz w:val="24"/>
          <w:szCs w:val="24"/>
          <w:lang w:eastAsia="bg-BG"/>
        </w:rPr>
        <w:t xml:space="preserve">В случай че по даден критерий оценителят счита, че представената информация е недостатъчна и не му дава достатъчна увереност, за да оцени критерия, оценителят отбелязва писмен коментар като посочва конкретните допълнения и пояснения, които да се изискат от кандидата. </w:t>
      </w:r>
    </w:p>
    <w:p w:rsidR="006B4ED5" w:rsidRPr="00B67AF6" w:rsidRDefault="00A14AE2" w:rsidP="00DE52C6">
      <w:pPr>
        <w:spacing w:before="120" w:after="120" w:line="360" w:lineRule="auto"/>
        <w:ind w:firstLine="72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 xml:space="preserve">По отношение на критериите за административно съответствие и допустимост следва да бъде постигнато пълно съответствие с критериите, т.е. за да бъде одобрено проектното предложение, оценителите следва да са поставили оценка „Да“ на всички приложими критерии (и съответно оценка „Неприложимо“ на неприложимите критерии). В случай, че на даден приложим критерий бъде поставена оценка „Не“, проектното предложение трябва да се върне за отстраняване на нередовности, непълноти и/или несъответствия. Ако кандидатът не отстрани констатираните нередовности, непълноти и/или несъответствия, </w:t>
      </w:r>
      <w:r w:rsidRPr="00B67AF6">
        <w:rPr>
          <w:rFonts w:ascii="Times New Roman" w:eastAsia="Times New Roman" w:hAnsi="Times New Roman"/>
          <w:b/>
          <w:bCs/>
          <w:sz w:val="24"/>
          <w:szCs w:val="24"/>
          <w:lang w:eastAsia="bg-BG"/>
        </w:rPr>
        <w:t xml:space="preserve">проектното предложение следва да бъде отхвърлено </w:t>
      </w:r>
      <w:r w:rsidRPr="00B67AF6">
        <w:rPr>
          <w:rFonts w:ascii="Times New Roman" w:eastAsia="Times New Roman" w:hAnsi="Times New Roman"/>
          <w:bCs/>
          <w:sz w:val="24"/>
          <w:szCs w:val="24"/>
          <w:lang w:eastAsia="bg-BG"/>
        </w:rPr>
        <w:t>от оценителната комисия.</w:t>
      </w:r>
    </w:p>
    <w:p w:rsidR="00872A0D" w:rsidRPr="00B67AF6" w:rsidRDefault="00872A0D" w:rsidP="00DE52C6">
      <w:pPr>
        <w:spacing w:before="120" w:after="120" w:line="360" w:lineRule="auto"/>
        <w:ind w:firstLine="72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t>На етапа на изменение на Насоките за кандидатстване в поле „Забележки“ ще бъдат даден</w:t>
      </w:r>
      <w:r w:rsidR="00A14AE2" w:rsidRPr="00B67AF6">
        <w:rPr>
          <w:rFonts w:ascii="Times New Roman" w:eastAsia="Times New Roman" w:hAnsi="Times New Roman"/>
          <w:bCs/>
          <w:sz w:val="24"/>
          <w:szCs w:val="24"/>
          <w:lang w:eastAsia="bg-BG"/>
        </w:rPr>
        <w:t>и</w:t>
      </w:r>
      <w:r w:rsidRPr="00B67AF6">
        <w:rPr>
          <w:rFonts w:ascii="Times New Roman" w:eastAsia="Times New Roman" w:hAnsi="Times New Roman"/>
          <w:bCs/>
          <w:sz w:val="24"/>
          <w:szCs w:val="24"/>
          <w:lang w:eastAsia="bg-BG"/>
        </w:rPr>
        <w:t xml:space="preserve"> конкретни указания какво следва да се проверява и/или към какви документи се реферира, за да се даде положително становище за всеки един от критериите</w:t>
      </w:r>
      <w:r w:rsidR="00A14AE2" w:rsidRPr="00B67AF6">
        <w:rPr>
          <w:rFonts w:ascii="Times New Roman" w:eastAsia="Times New Roman" w:hAnsi="Times New Roman"/>
          <w:bCs/>
          <w:sz w:val="24"/>
          <w:szCs w:val="24"/>
          <w:lang w:eastAsia="bg-BG"/>
        </w:rPr>
        <w:t xml:space="preserve"> за оценка</w:t>
      </w:r>
      <w:r w:rsidRPr="00B67AF6">
        <w:rPr>
          <w:rFonts w:ascii="Times New Roman" w:eastAsia="Times New Roman" w:hAnsi="Times New Roman"/>
          <w:bCs/>
          <w:sz w:val="24"/>
          <w:szCs w:val="24"/>
          <w:lang w:eastAsia="bg-BG"/>
        </w:rPr>
        <w:t>.</w:t>
      </w:r>
      <w:r w:rsidR="00A14AE2" w:rsidRPr="00B67AF6">
        <w:rPr>
          <w:rFonts w:ascii="Times New Roman" w:eastAsia="Times New Roman" w:hAnsi="Times New Roman"/>
          <w:bCs/>
          <w:sz w:val="24"/>
          <w:szCs w:val="24"/>
          <w:lang w:eastAsia="bg-BG"/>
        </w:rPr>
        <w:t xml:space="preserve"> </w:t>
      </w:r>
      <w:r w:rsidRPr="00B67AF6">
        <w:rPr>
          <w:rFonts w:ascii="Times New Roman" w:eastAsia="Times New Roman" w:hAnsi="Times New Roman"/>
          <w:bCs/>
          <w:sz w:val="24"/>
          <w:szCs w:val="24"/>
          <w:lang w:eastAsia="bg-BG"/>
        </w:rPr>
        <w:t xml:space="preserve"> </w:t>
      </w:r>
    </w:p>
    <w:p w:rsidR="00471E65" w:rsidRPr="00B67AF6" w:rsidRDefault="00471E65" w:rsidP="00DE52C6">
      <w:pPr>
        <w:spacing w:before="120" w:after="120" w:line="360" w:lineRule="auto"/>
        <w:ind w:firstLine="720"/>
        <w:jc w:val="both"/>
        <w:rPr>
          <w:rFonts w:ascii="Times New Roman" w:eastAsia="Times New Roman" w:hAnsi="Times New Roman"/>
          <w:bCs/>
          <w:sz w:val="24"/>
          <w:szCs w:val="24"/>
          <w:lang w:eastAsia="bg-BG"/>
        </w:rPr>
      </w:pPr>
      <w:r w:rsidRPr="00B67AF6">
        <w:rPr>
          <w:rFonts w:ascii="Times New Roman" w:eastAsia="Times New Roman" w:hAnsi="Times New Roman"/>
          <w:bCs/>
          <w:sz w:val="24"/>
          <w:szCs w:val="24"/>
          <w:lang w:eastAsia="bg-BG"/>
        </w:rPr>
        <w:lastRenderedPageBreak/>
        <w:t xml:space="preserve">След одобряване на изменението на критериите за избор на операции по приоритетна ос 1 на ОПРР 2014-2020 ще бъде подготвено изменение на текстовете на Насоките за кандидатстване и приложенията към тях. Изменените Насоки за кандидатстване ще бъдат </w:t>
      </w:r>
      <w:r w:rsidR="00715184" w:rsidRPr="00B67AF6">
        <w:rPr>
          <w:rFonts w:ascii="Times New Roman" w:eastAsia="Times New Roman" w:hAnsi="Times New Roman"/>
          <w:bCs/>
          <w:sz w:val="24"/>
          <w:szCs w:val="24"/>
          <w:lang w:eastAsia="bg-BG"/>
        </w:rPr>
        <w:t>качени на официалния сайт на ОПРР</w:t>
      </w:r>
      <w:r w:rsidRPr="00B67AF6">
        <w:rPr>
          <w:rFonts w:ascii="Times New Roman" w:eastAsia="Times New Roman" w:hAnsi="Times New Roman"/>
          <w:bCs/>
          <w:sz w:val="24"/>
          <w:szCs w:val="24"/>
          <w:lang w:eastAsia="bg-BG"/>
        </w:rPr>
        <w:t xml:space="preserve"> за</w:t>
      </w:r>
      <w:r w:rsidR="00EF1869" w:rsidRPr="00B67AF6">
        <w:rPr>
          <w:rFonts w:ascii="Times New Roman" w:eastAsia="Times New Roman" w:hAnsi="Times New Roman"/>
          <w:bCs/>
          <w:sz w:val="24"/>
          <w:szCs w:val="24"/>
          <w:lang w:eastAsia="bg-BG"/>
        </w:rPr>
        <w:t xml:space="preserve"> публично обсъждане и ще бъдат</w:t>
      </w:r>
      <w:r w:rsidRPr="00B67AF6">
        <w:rPr>
          <w:rFonts w:ascii="Times New Roman" w:eastAsia="Times New Roman" w:hAnsi="Times New Roman"/>
          <w:bCs/>
          <w:sz w:val="24"/>
          <w:szCs w:val="24"/>
          <w:lang w:eastAsia="bg-BG"/>
        </w:rPr>
        <w:t xml:space="preserve"> съгласуван</w:t>
      </w:r>
      <w:r w:rsidR="00EF1869" w:rsidRPr="00B67AF6">
        <w:rPr>
          <w:rFonts w:ascii="Times New Roman" w:eastAsia="Times New Roman" w:hAnsi="Times New Roman"/>
          <w:bCs/>
          <w:sz w:val="24"/>
          <w:szCs w:val="24"/>
          <w:lang w:eastAsia="bg-BG"/>
        </w:rPr>
        <w:t>и</w:t>
      </w:r>
      <w:r w:rsidRPr="00B67AF6">
        <w:rPr>
          <w:rFonts w:ascii="Times New Roman" w:eastAsia="Times New Roman" w:hAnsi="Times New Roman"/>
          <w:bCs/>
          <w:sz w:val="24"/>
          <w:szCs w:val="24"/>
          <w:lang w:eastAsia="bg-BG"/>
        </w:rPr>
        <w:t xml:space="preserve"> с конкретните бенефициенти по процедурата</w:t>
      </w:r>
      <w:r w:rsidR="00EF1869" w:rsidRPr="00B67AF6">
        <w:rPr>
          <w:rFonts w:ascii="Times New Roman" w:eastAsia="Times New Roman" w:hAnsi="Times New Roman"/>
          <w:bCs/>
          <w:sz w:val="24"/>
          <w:szCs w:val="24"/>
          <w:lang w:eastAsia="bg-BG"/>
        </w:rPr>
        <w:t xml:space="preserve"> и с Министерство на финансите по отношение на съответствие с приложимия режим за държавни помощи</w:t>
      </w:r>
      <w:r w:rsidRPr="00B67AF6">
        <w:rPr>
          <w:rFonts w:ascii="Times New Roman" w:eastAsia="Times New Roman" w:hAnsi="Times New Roman"/>
          <w:bCs/>
          <w:sz w:val="24"/>
          <w:szCs w:val="24"/>
          <w:lang w:eastAsia="bg-BG"/>
        </w:rPr>
        <w:t>.</w:t>
      </w:r>
      <w:r w:rsidR="00715184" w:rsidRPr="00B67AF6">
        <w:rPr>
          <w:rFonts w:ascii="Times New Roman" w:eastAsia="Times New Roman" w:hAnsi="Times New Roman"/>
          <w:bCs/>
          <w:sz w:val="24"/>
          <w:szCs w:val="24"/>
          <w:lang w:eastAsia="bg-BG"/>
        </w:rPr>
        <w:t xml:space="preserve"> След съгласуване на изменението на Насоките за кандидатстване и приложенията към тях и отразяване на получените коментари, УО на ОПРР ще публикува официално изменените документи и ще уведоми конкретните бенефициенти. </w:t>
      </w:r>
    </w:p>
    <w:p w:rsidR="00A14AE2" w:rsidRPr="00B67AF6" w:rsidRDefault="00A14AE2" w:rsidP="00DE52C6">
      <w:pPr>
        <w:spacing w:before="120" w:after="120" w:line="360" w:lineRule="auto"/>
        <w:ind w:firstLine="720"/>
        <w:jc w:val="both"/>
        <w:rPr>
          <w:rFonts w:ascii="Times New Roman" w:eastAsia="Times New Roman" w:hAnsi="Times New Roman"/>
          <w:bCs/>
          <w:sz w:val="24"/>
          <w:szCs w:val="24"/>
          <w:lang w:eastAsia="bg-BG"/>
        </w:rPr>
      </w:pPr>
      <w:bookmarkStart w:id="0" w:name="_GoBack"/>
      <w:bookmarkEnd w:id="0"/>
    </w:p>
    <w:sectPr w:rsidR="00A14AE2" w:rsidRPr="00B67AF6">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61F" w:rsidRDefault="0016461F" w:rsidP="000D77D6">
      <w:pPr>
        <w:spacing w:after="0" w:line="240" w:lineRule="auto"/>
      </w:pPr>
      <w:r>
        <w:separator/>
      </w:r>
    </w:p>
  </w:endnote>
  <w:endnote w:type="continuationSeparator" w:id="0">
    <w:p w:rsidR="0016461F" w:rsidRDefault="0016461F" w:rsidP="000D7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04268"/>
      <w:docPartObj>
        <w:docPartGallery w:val="Page Numbers (Bottom of Page)"/>
        <w:docPartUnique/>
      </w:docPartObj>
    </w:sdtPr>
    <w:sdtEndPr>
      <w:rPr>
        <w:noProof/>
      </w:rPr>
    </w:sdtEndPr>
    <w:sdtContent>
      <w:p w:rsidR="000D77D6" w:rsidRDefault="000D77D6">
        <w:pPr>
          <w:pStyle w:val="Footer"/>
          <w:jc w:val="right"/>
        </w:pPr>
        <w:r>
          <w:fldChar w:fldCharType="begin"/>
        </w:r>
        <w:r>
          <w:instrText xml:space="preserve"> PAGE   \* MERGEFORMAT </w:instrText>
        </w:r>
        <w:r>
          <w:fldChar w:fldCharType="separate"/>
        </w:r>
        <w:r w:rsidR="00B67AF6">
          <w:rPr>
            <w:noProof/>
          </w:rPr>
          <w:t>9</w:t>
        </w:r>
        <w:r>
          <w:rPr>
            <w:noProof/>
          </w:rPr>
          <w:fldChar w:fldCharType="end"/>
        </w:r>
      </w:p>
    </w:sdtContent>
  </w:sdt>
  <w:p w:rsidR="000D77D6" w:rsidRDefault="000D77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61F" w:rsidRDefault="0016461F" w:rsidP="000D77D6">
      <w:pPr>
        <w:spacing w:after="0" w:line="240" w:lineRule="auto"/>
      </w:pPr>
      <w:r>
        <w:separator/>
      </w:r>
    </w:p>
  </w:footnote>
  <w:footnote w:type="continuationSeparator" w:id="0">
    <w:p w:rsidR="0016461F" w:rsidRDefault="0016461F" w:rsidP="000D77D6">
      <w:pPr>
        <w:spacing w:after="0" w:line="240" w:lineRule="auto"/>
      </w:pPr>
      <w:r>
        <w:continuationSeparator/>
      </w:r>
    </w:p>
  </w:footnote>
  <w:footnote w:id="1">
    <w:p w:rsidR="00094B96" w:rsidRDefault="00094B96" w:rsidP="00094B96">
      <w:pPr>
        <w:pStyle w:val="FootnoteText"/>
        <w:rPr>
          <w:rFonts w:ascii="Times New Roman" w:hAnsi="Times New Roman" w:cs="Times New Roman"/>
          <w:lang w:val="en-US"/>
        </w:rPr>
      </w:pPr>
      <w:r>
        <w:rPr>
          <w:rStyle w:val="FootnoteReference"/>
          <w:rFonts w:ascii="Times New Roman" w:hAnsi="Times New Roman" w:cs="Times New Roman"/>
        </w:rPr>
        <w:footnoteRef/>
      </w:r>
      <w:r>
        <w:rPr>
          <w:rFonts w:ascii="Times New Roman" w:hAnsi="Times New Roman" w:cs="Times New Roman"/>
        </w:rPr>
        <w:t xml:space="preserve"> В случай на получен отговор „Не“ по някой от критериите за административно съответствие и за допустимост, съответният фиш за проектна идея се отхвърля от Работната група.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D501D"/>
    <w:multiLevelType w:val="hybridMultilevel"/>
    <w:tmpl w:val="7BB097E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nsid w:val="058A36F8"/>
    <w:multiLevelType w:val="hybridMultilevel"/>
    <w:tmpl w:val="EC62F9A4"/>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BA60375"/>
    <w:multiLevelType w:val="hybridMultilevel"/>
    <w:tmpl w:val="A3BE28D8"/>
    <w:lvl w:ilvl="0" w:tplc="0402000B">
      <w:start w:val="1"/>
      <w:numFmt w:val="bullet"/>
      <w:lvlText w:val=""/>
      <w:lvlJc w:val="left"/>
      <w:pPr>
        <w:ind w:left="1440" w:hanging="360"/>
      </w:pPr>
      <w:rPr>
        <w:rFonts w:ascii="Wingdings" w:hAnsi="Wingdings"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172F0F46"/>
    <w:multiLevelType w:val="hybridMultilevel"/>
    <w:tmpl w:val="45B6ED9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3">
      <w:start w:val="1"/>
      <w:numFmt w:val="bullet"/>
      <w:lvlText w:val="o"/>
      <w:lvlJc w:val="left"/>
      <w:pPr>
        <w:ind w:left="2160" w:hanging="360"/>
      </w:pPr>
      <w:rPr>
        <w:rFonts w:ascii="Courier New" w:hAnsi="Courier New" w:cs="Courier New"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nsid w:val="1A015939"/>
    <w:multiLevelType w:val="hybridMultilevel"/>
    <w:tmpl w:val="700E3E4A"/>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1E59635F"/>
    <w:multiLevelType w:val="hybridMultilevel"/>
    <w:tmpl w:val="060084A0"/>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nsid w:val="2B9E1892"/>
    <w:multiLevelType w:val="hybridMultilevel"/>
    <w:tmpl w:val="DEA4FB5C"/>
    <w:lvl w:ilvl="0" w:tplc="4BE61B26">
      <w:numFmt w:val="bullet"/>
      <w:lvlText w:val="-"/>
      <w:lvlJc w:val="left"/>
      <w:pPr>
        <w:ind w:left="1004" w:hanging="360"/>
      </w:pPr>
      <w:rPr>
        <w:rFonts w:ascii="Times New Roman" w:eastAsia="Times New Roman" w:hAnsi="Times New Roman" w:cs="Times New Roman" w:hint="default"/>
      </w:rPr>
    </w:lvl>
    <w:lvl w:ilvl="1" w:tplc="04020003">
      <w:start w:val="1"/>
      <w:numFmt w:val="bullet"/>
      <w:lvlText w:val="o"/>
      <w:lvlJc w:val="left"/>
      <w:pPr>
        <w:ind w:left="1724" w:hanging="360"/>
      </w:pPr>
      <w:rPr>
        <w:rFonts w:ascii="Courier New" w:hAnsi="Courier New" w:cs="Courier New" w:hint="default"/>
      </w:rPr>
    </w:lvl>
    <w:lvl w:ilvl="2" w:tplc="04020005">
      <w:start w:val="1"/>
      <w:numFmt w:val="bullet"/>
      <w:lvlText w:val=""/>
      <w:lvlJc w:val="left"/>
      <w:pPr>
        <w:ind w:left="2444" w:hanging="360"/>
      </w:pPr>
      <w:rPr>
        <w:rFonts w:ascii="Wingdings" w:hAnsi="Wingdings" w:hint="default"/>
      </w:rPr>
    </w:lvl>
    <w:lvl w:ilvl="3" w:tplc="04020001">
      <w:start w:val="1"/>
      <w:numFmt w:val="bullet"/>
      <w:lvlText w:val=""/>
      <w:lvlJc w:val="left"/>
      <w:pPr>
        <w:ind w:left="3164" w:hanging="360"/>
      </w:pPr>
      <w:rPr>
        <w:rFonts w:ascii="Symbol" w:hAnsi="Symbol" w:hint="default"/>
      </w:rPr>
    </w:lvl>
    <w:lvl w:ilvl="4" w:tplc="04020003">
      <w:start w:val="1"/>
      <w:numFmt w:val="bullet"/>
      <w:lvlText w:val="o"/>
      <w:lvlJc w:val="left"/>
      <w:pPr>
        <w:ind w:left="3884" w:hanging="360"/>
      </w:pPr>
      <w:rPr>
        <w:rFonts w:ascii="Courier New" w:hAnsi="Courier New" w:cs="Courier New" w:hint="default"/>
      </w:rPr>
    </w:lvl>
    <w:lvl w:ilvl="5" w:tplc="04020005">
      <w:start w:val="1"/>
      <w:numFmt w:val="bullet"/>
      <w:lvlText w:val=""/>
      <w:lvlJc w:val="left"/>
      <w:pPr>
        <w:ind w:left="4604" w:hanging="360"/>
      </w:pPr>
      <w:rPr>
        <w:rFonts w:ascii="Wingdings" w:hAnsi="Wingdings" w:hint="default"/>
      </w:rPr>
    </w:lvl>
    <w:lvl w:ilvl="6" w:tplc="04020001">
      <w:start w:val="1"/>
      <w:numFmt w:val="bullet"/>
      <w:lvlText w:val=""/>
      <w:lvlJc w:val="left"/>
      <w:pPr>
        <w:ind w:left="5324" w:hanging="360"/>
      </w:pPr>
      <w:rPr>
        <w:rFonts w:ascii="Symbol" w:hAnsi="Symbol" w:hint="default"/>
      </w:rPr>
    </w:lvl>
    <w:lvl w:ilvl="7" w:tplc="04020003">
      <w:start w:val="1"/>
      <w:numFmt w:val="bullet"/>
      <w:lvlText w:val="o"/>
      <w:lvlJc w:val="left"/>
      <w:pPr>
        <w:ind w:left="6044" w:hanging="360"/>
      </w:pPr>
      <w:rPr>
        <w:rFonts w:ascii="Courier New" w:hAnsi="Courier New" w:cs="Courier New" w:hint="default"/>
      </w:rPr>
    </w:lvl>
    <w:lvl w:ilvl="8" w:tplc="04020005">
      <w:start w:val="1"/>
      <w:numFmt w:val="bullet"/>
      <w:lvlText w:val=""/>
      <w:lvlJc w:val="left"/>
      <w:pPr>
        <w:ind w:left="6764" w:hanging="360"/>
      </w:pPr>
      <w:rPr>
        <w:rFonts w:ascii="Wingdings" w:hAnsi="Wingdings" w:hint="default"/>
      </w:rPr>
    </w:lvl>
  </w:abstractNum>
  <w:abstractNum w:abstractNumId="7">
    <w:nsid w:val="35820B65"/>
    <w:multiLevelType w:val="multilevel"/>
    <w:tmpl w:val="BBB8193E"/>
    <w:lvl w:ilvl="0">
      <w:numFmt w:val="bullet"/>
      <w:lvlText w:val=""/>
      <w:lvlJc w:val="left"/>
      <w:pPr>
        <w:ind w:left="360" w:hanging="360"/>
      </w:pPr>
      <w:rPr>
        <w:rFonts w:ascii="Symbol" w:hAnsi="Symbol"/>
      </w:rPr>
    </w:lvl>
    <w:lvl w:ilvl="1">
      <w:numFmt w:val="bullet"/>
      <w:lvlText w:val="o"/>
      <w:lvlJc w:val="left"/>
      <w:pPr>
        <w:ind w:left="929" w:hanging="360"/>
      </w:pPr>
      <w:rPr>
        <w:rFonts w:ascii="Courier New" w:hAnsi="Courier New" w:cs="Courier New"/>
      </w:rPr>
    </w:lvl>
    <w:lvl w:ilvl="2">
      <w:numFmt w:val="bullet"/>
      <w:lvlText w:val=""/>
      <w:lvlJc w:val="left"/>
      <w:pPr>
        <w:ind w:left="1649" w:hanging="360"/>
      </w:pPr>
      <w:rPr>
        <w:rFonts w:ascii="Wingdings" w:hAnsi="Wingdings"/>
      </w:rPr>
    </w:lvl>
    <w:lvl w:ilvl="3">
      <w:numFmt w:val="bullet"/>
      <w:lvlText w:val=""/>
      <w:lvlJc w:val="left"/>
      <w:pPr>
        <w:ind w:left="2369" w:hanging="360"/>
      </w:pPr>
      <w:rPr>
        <w:rFonts w:ascii="Symbol" w:hAnsi="Symbol"/>
      </w:rPr>
    </w:lvl>
    <w:lvl w:ilvl="4">
      <w:numFmt w:val="bullet"/>
      <w:lvlText w:val="o"/>
      <w:lvlJc w:val="left"/>
      <w:pPr>
        <w:ind w:left="3089" w:hanging="360"/>
      </w:pPr>
      <w:rPr>
        <w:rFonts w:ascii="Courier New" w:hAnsi="Courier New" w:cs="Courier New"/>
      </w:rPr>
    </w:lvl>
    <w:lvl w:ilvl="5">
      <w:numFmt w:val="bullet"/>
      <w:lvlText w:val=""/>
      <w:lvlJc w:val="left"/>
      <w:pPr>
        <w:ind w:left="3809" w:hanging="360"/>
      </w:pPr>
      <w:rPr>
        <w:rFonts w:ascii="Wingdings" w:hAnsi="Wingdings"/>
      </w:rPr>
    </w:lvl>
    <w:lvl w:ilvl="6">
      <w:numFmt w:val="bullet"/>
      <w:lvlText w:val=""/>
      <w:lvlJc w:val="left"/>
      <w:pPr>
        <w:ind w:left="4529" w:hanging="360"/>
      </w:pPr>
      <w:rPr>
        <w:rFonts w:ascii="Symbol" w:hAnsi="Symbol"/>
      </w:rPr>
    </w:lvl>
    <w:lvl w:ilvl="7">
      <w:numFmt w:val="bullet"/>
      <w:lvlText w:val="o"/>
      <w:lvlJc w:val="left"/>
      <w:pPr>
        <w:ind w:left="5249" w:hanging="360"/>
      </w:pPr>
      <w:rPr>
        <w:rFonts w:ascii="Courier New" w:hAnsi="Courier New" w:cs="Courier New"/>
      </w:rPr>
    </w:lvl>
    <w:lvl w:ilvl="8">
      <w:numFmt w:val="bullet"/>
      <w:lvlText w:val=""/>
      <w:lvlJc w:val="left"/>
      <w:pPr>
        <w:ind w:left="5969" w:hanging="360"/>
      </w:pPr>
      <w:rPr>
        <w:rFonts w:ascii="Wingdings" w:hAnsi="Wingdings"/>
      </w:rPr>
    </w:lvl>
  </w:abstractNum>
  <w:abstractNum w:abstractNumId="8">
    <w:nsid w:val="3DBE59EC"/>
    <w:multiLevelType w:val="hybridMultilevel"/>
    <w:tmpl w:val="12BAB922"/>
    <w:lvl w:ilvl="0" w:tplc="37A41416">
      <w:start w:val="1"/>
      <w:numFmt w:val="bullet"/>
      <w:lvlText w:val="−"/>
      <w:lvlJc w:val="left"/>
      <w:pPr>
        <w:ind w:left="654" w:hanging="360"/>
      </w:pPr>
      <w:rPr>
        <w:rFonts w:ascii="Times New Roman" w:hAnsi="Times New Roman" w:cs="Times New Roman" w:hint="default"/>
      </w:rPr>
    </w:lvl>
    <w:lvl w:ilvl="1" w:tplc="04020003" w:tentative="1">
      <w:start w:val="1"/>
      <w:numFmt w:val="bullet"/>
      <w:lvlText w:val="o"/>
      <w:lvlJc w:val="left"/>
      <w:pPr>
        <w:ind w:left="1374" w:hanging="360"/>
      </w:pPr>
      <w:rPr>
        <w:rFonts w:ascii="Courier New" w:hAnsi="Courier New" w:cs="Courier New" w:hint="default"/>
      </w:rPr>
    </w:lvl>
    <w:lvl w:ilvl="2" w:tplc="04020005" w:tentative="1">
      <w:start w:val="1"/>
      <w:numFmt w:val="bullet"/>
      <w:lvlText w:val=""/>
      <w:lvlJc w:val="left"/>
      <w:pPr>
        <w:ind w:left="2094" w:hanging="360"/>
      </w:pPr>
      <w:rPr>
        <w:rFonts w:ascii="Wingdings" w:hAnsi="Wingdings" w:hint="default"/>
      </w:rPr>
    </w:lvl>
    <w:lvl w:ilvl="3" w:tplc="04020001" w:tentative="1">
      <w:start w:val="1"/>
      <w:numFmt w:val="bullet"/>
      <w:lvlText w:val=""/>
      <w:lvlJc w:val="left"/>
      <w:pPr>
        <w:ind w:left="2814" w:hanging="360"/>
      </w:pPr>
      <w:rPr>
        <w:rFonts w:ascii="Symbol" w:hAnsi="Symbol" w:hint="default"/>
      </w:rPr>
    </w:lvl>
    <w:lvl w:ilvl="4" w:tplc="04020003" w:tentative="1">
      <w:start w:val="1"/>
      <w:numFmt w:val="bullet"/>
      <w:lvlText w:val="o"/>
      <w:lvlJc w:val="left"/>
      <w:pPr>
        <w:ind w:left="3534" w:hanging="360"/>
      </w:pPr>
      <w:rPr>
        <w:rFonts w:ascii="Courier New" w:hAnsi="Courier New" w:cs="Courier New" w:hint="default"/>
      </w:rPr>
    </w:lvl>
    <w:lvl w:ilvl="5" w:tplc="04020005" w:tentative="1">
      <w:start w:val="1"/>
      <w:numFmt w:val="bullet"/>
      <w:lvlText w:val=""/>
      <w:lvlJc w:val="left"/>
      <w:pPr>
        <w:ind w:left="4254" w:hanging="360"/>
      </w:pPr>
      <w:rPr>
        <w:rFonts w:ascii="Wingdings" w:hAnsi="Wingdings" w:hint="default"/>
      </w:rPr>
    </w:lvl>
    <w:lvl w:ilvl="6" w:tplc="04020001" w:tentative="1">
      <w:start w:val="1"/>
      <w:numFmt w:val="bullet"/>
      <w:lvlText w:val=""/>
      <w:lvlJc w:val="left"/>
      <w:pPr>
        <w:ind w:left="4974" w:hanging="360"/>
      </w:pPr>
      <w:rPr>
        <w:rFonts w:ascii="Symbol" w:hAnsi="Symbol" w:hint="default"/>
      </w:rPr>
    </w:lvl>
    <w:lvl w:ilvl="7" w:tplc="04020003" w:tentative="1">
      <w:start w:val="1"/>
      <w:numFmt w:val="bullet"/>
      <w:lvlText w:val="o"/>
      <w:lvlJc w:val="left"/>
      <w:pPr>
        <w:ind w:left="5694" w:hanging="360"/>
      </w:pPr>
      <w:rPr>
        <w:rFonts w:ascii="Courier New" w:hAnsi="Courier New" w:cs="Courier New" w:hint="default"/>
      </w:rPr>
    </w:lvl>
    <w:lvl w:ilvl="8" w:tplc="04020005" w:tentative="1">
      <w:start w:val="1"/>
      <w:numFmt w:val="bullet"/>
      <w:lvlText w:val=""/>
      <w:lvlJc w:val="left"/>
      <w:pPr>
        <w:ind w:left="6414" w:hanging="360"/>
      </w:pPr>
      <w:rPr>
        <w:rFonts w:ascii="Wingdings" w:hAnsi="Wingdings" w:hint="default"/>
      </w:rPr>
    </w:lvl>
  </w:abstractNum>
  <w:abstractNum w:abstractNumId="9">
    <w:nsid w:val="57564C25"/>
    <w:multiLevelType w:val="hybridMultilevel"/>
    <w:tmpl w:val="CBE0E450"/>
    <w:lvl w:ilvl="0" w:tplc="958EE63A">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B730CCE"/>
    <w:multiLevelType w:val="hybridMultilevel"/>
    <w:tmpl w:val="F698F0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5C805EE7"/>
    <w:multiLevelType w:val="hybridMultilevel"/>
    <w:tmpl w:val="24C615B8"/>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5D931E02"/>
    <w:multiLevelType w:val="hybridMultilevel"/>
    <w:tmpl w:val="F058E2B6"/>
    <w:lvl w:ilvl="0" w:tplc="04020001">
      <w:start w:val="1"/>
      <w:numFmt w:val="bullet"/>
      <w:lvlText w:val=""/>
      <w:lvlJc w:val="left"/>
      <w:pPr>
        <w:ind w:left="1429" w:hanging="360"/>
      </w:pPr>
      <w:rPr>
        <w:rFonts w:ascii="Symbol" w:hAnsi="Symbol"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3">
    <w:nsid w:val="6532781E"/>
    <w:multiLevelType w:val="hybridMultilevel"/>
    <w:tmpl w:val="A7B0BD7E"/>
    <w:lvl w:ilvl="0" w:tplc="CF161E8E">
      <w:numFmt w:val="bullet"/>
      <w:lvlText w:val="-"/>
      <w:lvlJc w:val="left"/>
      <w:pPr>
        <w:ind w:left="300" w:hanging="360"/>
      </w:pPr>
      <w:rPr>
        <w:rFonts w:ascii="Times New Roman" w:eastAsia="Times New Roman" w:hAnsi="Times New Roman" w:cs="Times New Roman" w:hint="default"/>
      </w:rPr>
    </w:lvl>
    <w:lvl w:ilvl="1" w:tplc="04020003">
      <w:start w:val="1"/>
      <w:numFmt w:val="bullet"/>
      <w:lvlText w:val="o"/>
      <w:lvlJc w:val="left"/>
      <w:pPr>
        <w:ind w:left="1020" w:hanging="360"/>
      </w:pPr>
      <w:rPr>
        <w:rFonts w:ascii="Courier New" w:hAnsi="Courier New" w:cs="Courier New" w:hint="default"/>
      </w:rPr>
    </w:lvl>
    <w:lvl w:ilvl="2" w:tplc="04020005" w:tentative="1">
      <w:start w:val="1"/>
      <w:numFmt w:val="bullet"/>
      <w:lvlText w:val=""/>
      <w:lvlJc w:val="left"/>
      <w:pPr>
        <w:ind w:left="1740" w:hanging="360"/>
      </w:pPr>
      <w:rPr>
        <w:rFonts w:ascii="Wingdings" w:hAnsi="Wingdings" w:hint="default"/>
      </w:rPr>
    </w:lvl>
    <w:lvl w:ilvl="3" w:tplc="04020001" w:tentative="1">
      <w:start w:val="1"/>
      <w:numFmt w:val="bullet"/>
      <w:lvlText w:val=""/>
      <w:lvlJc w:val="left"/>
      <w:pPr>
        <w:ind w:left="2460" w:hanging="360"/>
      </w:pPr>
      <w:rPr>
        <w:rFonts w:ascii="Symbol" w:hAnsi="Symbol" w:hint="default"/>
      </w:rPr>
    </w:lvl>
    <w:lvl w:ilvl="4" w:tplc="04020003" w:tentative="1">
      <w:start w:val="1"/>
      <w:numFmt w:val="bullet"/>
      <w:lvlText w:val="o"/>
      <w:lvlJc w:val="left"/>
      <w:pPr>
        <w:ind w:left="3180" w:hanging="360"/>
      </w:pPr>
      <w:rPr>
        <w:rFonts w:ascii="Courier New" w:hAnsi="Courier New" w:cs="Courier New" w:hint="default"/>
      </w:rPr>
    </w:lvl>
    <w:lvl w:ilvl="5" w:tplc="04020005" w:tentative="1">
      <w:start w:val="1"/>
      <w:numFmt w:val="bullet"/>
      <w:lvlText w:val=""/>
      <w:lvlJc w:val="left"/>
      <w:pPr>
        <w:ind w:left="3900" w:hanging="360"/>
      </w:pPr>
      <w:rPr>
        <w:rFonts w:ascii="Wingdings" w:hAnsi="Wingdings" w:hint="default"/>
      </w:rPr>
    </w:lvl>
    <w:lvl w:ilvl="6" w:tplc="04020001" w:tentative="1">
      <w:start w:val="1"/>
      <w:numFmt w:val="bullet"/>
      <w:lvlText w:val=""/>
      <w:lvlJc w:val="left"/>
      <w:pPr>
        <w:ind w:left="4620" w:hanging="360"/>
      </w:pPr>
      <w:rPr>
        <w:rFonts w:ascii="Symbol" w:hAnsi="Symbol" w:hint="default"/>
      </w:rPr>
    </w:lvl>
    <w:lvl w:ilvl="7" w:tplc="04020003" w:tentative="1">
      <w:start w:val="1"/>
      <w:numFmt w:val="bullet"/>
      <w:lvlText w:val="o"/>
      <w:lvlJc w:val="left"/>
      <w:pPr>
        <w:ind w:left="5340" w:hanging="360"/>
      </w:pPr>
      <w:rPr>
        <w:rFonts w:ascii="Courier New" w:hAnsi="Courier New" w:cs="Courier New" w:hint="default"/>
      </w:rPr>
    </w:lvl>
    <w:lvl w:ilvl="8" w:tplc="04020005" w:tentative="1">
      <w:start w:val="1"/>
      <w:numFmt w:val="bullet"/>
      <w:lvlText w:val=""/>
      <w:lvlJc w:val="left"/>
      <w:pPr>
        <w:ind w:left="6060" w:hanging="360"/>
      </w:pPr>
      <w:rPr>
        <w:rFonts w:ascii="Wingdings" w:hAnsi="Wingdings" w:hint="default"/>
      </w:rPr>
    </w:lvl>
  </w:abstractNum>
  <w:abstractNum w:abstractNumId="14">
    <w:nsid w:val="7CB049A7"/>
    <w:multiLevelType w:val="hybridMultilevel"/>
    <w:tmpl w:val="D7067CC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nsid w:val="7D822E82"/>
    <w:multiLevelType w:val="hybridMultilevel"/>
    <w:tmpl w:val="2558F9BE"/>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6"/>
  </w:num>
  <w:num w:numId="2">
    <w:abstractNumId w:val="13"/>
  </w:num>
  <w:num w:numId="3">
    <w:abstractNumId w:val="8"/>
  </w:num>
  <w:num w:numId="4">
    <w:abstractNumId w:val="6"/>
  </w:num>
  <w:num w:numId="5">
    <w:abstractNumId w:val="7"/>
  </w:num>
  <w:num w:numId="6">
    <w:abstractNumId w:val="15"/>
  </w:num>
  <w:num w:numId="7">
    <w:abstractNumId w:val="10"/>
  </w:num>
  <w:num w:numId="8">
    <w:abstractNumId w:val="2"/>
  </w:num>
  <w:num w:numId="9">
    <w:abstractNumId w:val="1"/>
  </w:num>
  <w:num w:numId="10">
    <w:abstractNumId w:val="11"/>
  </w:num>
  <w:num w:numId="11">
    <w:abstractNumId w:val="4"/>
  </w:num>
  <w:num w:numId="12">
    <w:abstractNumId w:val="0"/>
  </w:num>
  <w:num w:numId="13">
    <w:abstractNumId w:val="12"/>
  </w:num>
  <w:num w:numId="14">
    <w:abstractNumId w:val="3"/>
  </w:num>
  <w:num w:numId="15">
    <w:abstractNumId w:val="5"/>
  </w:num>
  <w:num w:numId="16">
    <w:abstractNumId w:val="1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218"/>
    <w:rsid w:val="00012DDD"/>
    <w:rsid w:val="000158A9"/>
    <w:rsid w:val="00017DD8"/>
    <w:rsid w:val="00024EA0"/>
    <w:rsid w:val="00046411"/>
    <w:rsid w:val="00060774"/>
    <w:rsid w:val="00061095"/>
    <w:rsid w:val="00064FD6"/>
    <w:rsid w:val="00094B96"/>
    <w:rsid w:val="000964E5"/>
    <w:rsid w:val="000977A2"/>
    <w:rsid w:val="00097EE4"/>
    <w:rsid w:val="000B0DD1"/>
    <w:rsid w:val="000B1552"/>
    <w:rsid w:val="000B6C14"/>
    <w:rsid w:val="000C5D48"/>
    <w:rsid w:val="000D77D6"/>
    <w:rsid w:val="00102EC2"/>
    <w:rsid w:val="00105E41"/>
    <w:rsid w:val="00123D00"/>
    <w:rsid w:val="00141108"/>
    <w:rsid w:val="00162970"/>
    <w:rsid w:val="0016461F"/>
    <w:rsid w:val="0016614C"/>
    <w:rsid w:val="00166271"/>
    <w:rsid w:val="001671AF"/>
    <w:rsid w:val="001A6622"/>
    <w:rsid w:val="001B4A00"/>
    <w:rsid w:val="001C6EF3"/>
    <w:rsid w:val="001C7F1F"/>
    <w:rsid w:val="001E1D4D"/>
    <w:rsid w:val="0020017D"/>
    <w:rsid w:val="002036FB"/>
    <w:rsid w:val="00224D3C"/>
    <w:rsid w:val="00246AEC"/>
    <w:rsid w:val="00265856"/>
    <w:rsid w:val="00275A3B"/>
    <w:rsid w:val="00277F0A"/>
    <w:rsid w:val="002A552D"/>
    <w:rsid w:val="002D2B5C"/>
    <w:rsid w:val="002D2C24"/>
    <w:rsid w:val="002D52C0"/>
    <w:rsid w:val="003177B5"/>
    <w:rsid w:val="00335E8C"/>
    <w:rsid w:val="00353662"/>
    <w:rsid w:val="00370DA1"/>
    <w:rsid w:val="003C51D1"/>
    <w:rsid w:val="003C555E"/>
    <w:rsid w:val="003D0D29"/>
    <w:rsid w:val="003D5022"/>
    <w:rsid w:val="003E48B9"/>
    <w:rsid w:val="00420D4E"/>
    <w:rsid w:val="00432CA8"/>
    <w:rsid w:val="004365F9"/>
    <w:rsid w:val="00443F37"/>
    <w:rsid w:val="00471E65"/>
    <w:rsid w:val="004764D4"/>
    <w:rsid w:val="004819DE"/>
    <w:rsid w:val="00487C83"/>
    <w:rsid w:val="00497C3A"/>
    <w:rsid w:val="004A5E05"/>
    <w:rsid w:val="004A66FD"/>
    <w:rsid w:val="004C603A"/>
    <w:rsid w:val="004D31B5"/>
    <w:rsid w:val="004E38AA"/>
    <w:rsid w:val="00514368"/>
    <w:rsid w:val="0052651A"/>
    <w:rsid w:val="00541A70"/>
    <w:rsid w:val="00574ACA"/>
    <w:rsid w:val="005775F9"/>
    <w:rsid w:val="0059590D"/>
    <w:rsid w:val="005978BE"/>
    <w:rsid w:val="005B4704"/>
    <w:rsid w:val="005B5D36"/>
    <w:rsid w:val="00605C5C"/>
    <w:rsid w:val="006123E2"/>
    <w:rsid w:val="006166C6"/>
    <w:rsid w:val="00646B2F"/>
    <w:rsid w:val="006567AA"/>
    <w:rsid w:val="006642A8"/>
    <w:rsid w:val="006823FA"/>
    <w:rsid w:val="0069697A"/>
    <w:rsid w:val="006B4ED5"/>
    <w:rsid w:val="006F1E6A"/>
    <w:rsid w:val="00706218"/>
    <w:rsid w:val="00715184"/>
    <w:rsid w:val="007418AA"/>
    <w:rsid w:val="007524CE"/>
    <w:rsid w:val="00752ABF"/>
    <w:rsid w:val="007546A6"/>
    <w:rsid w:val="00755BFF"/>
    <w:rsid w:val="00772A21"/>
    <w:rsid w:val="007B11E9"/>
    <w:rsid w:val="007B6A96"/>
    <w:rsid w:val="008049C4"/>
    <w:rsid w:val="0082178A"/>
    <w:rsid w:val="00855F17"/>
    <w:rsid w:val="00866705"/>
    <w:rsid w:val="00872A0D"/>
    <w:rsid w:val="00897F67"/>
    <w:rsid w:val="008A26C1"/>
    <w:rsid w:val="008C5DB5"/>
    <w:rsid w:val="008E1F4B"/>
    <w:rsid w:val="008E617F"/>
    <w:rsid w:val="009038C8"/>
    <w:rsid w:val="00903DF1"/>
    <w:rsid w:val="00947A05"/>
    <w:rsid w:val="009623FE"/>
    <w:rsid w:val="009718F9"/>
    <w:rsid w:val="00990EC0"/>
    <w:rsid w:val="009A7535"/>
    <w:rsid w:val="009B3DC3"/>
    <w:rsid w:val="009C6445"/>
    <w:rsid w:val="009E3AE8"/>
    <w:rsid w:val="00A12538"/>
    <w:rsid w:val="00A134EE"/>
    <w:rsid w:val="00A14AE2"/>
    <w:rsid w:val="00A45F17"/>
    <w:rsid w:val="00A614CB"/>
    <w:rsid w:val="00A9494F"/>
    <w:rsid w:val="00AB3D99"/>
    <w:rsid w:val="00AD641F"/>
    <w:rsid w:val="00AD6B60"/>
    <w:rsid w:val="00B07132"/>
    <w:rsid w:val="00B152AD"/>
    <w:rsid w:val="00B226AF"/>
    <w:rsid w:val="00B334E2"/>
    <w:rsid w:val="00B54F1E"/>
    <w:rsid w:val="00B67AF6"/>
    <w:rsid w:val="00B82D94"/>
    <w:rsid w:val="00B86D07"/>
    <w:rsid w:val="00B962D3"/>
    <w:rsid w:val="00BA0FB3"/>
    <w:rsid w:val="00BB1EA3"/>
    <w:rsid w:val="00BC711C"/>
    <w:rsid w:val="00BE554A"/>
    <w:rsid w:val="00C156D1"/>
    <w:rsid w:val="00C3249A"/>
    <w:rsid w:val="00C37D11"/>
    <w:rsid w:val="00C62093"/>
    <w:rsid w:val="00C65749"/>
    <w:rsid w:val="00C8267D"/>
    <w:rsid w:val="00C840B8"/>
    <w:rsid w:val="00CB1B55"/>
    <w:rsid w:val="00CB4D98"/>
    <w:rsid w:val="00CC1330"/>
    <w:rsid w:val="00CF7E2D"/>
    <w:rsid w:val="00D02382"/>
    <w:rsid w:val="00D150FE"/>
    <w:rsid w:val="00D20466"/>
    <w:rsid w:val="00D64321"/>
    <w:rsid w:val="00D65A0C"/>
    <w:rsid w:val="00D66C3E"/>
    <w:rsid w:val="00D75AC1"/>
    <w:rsid w:val="00D830CE"/>
    <w:rsid w:val="00D87E19"/>
    <w:rsid w:val="00DB6992"/>
    <w:rsid w:val="00DE52C6"/>
    <w:rsid w:val="00E019CE"/>
    <w:rsid w:val="00E1587A"/>
    <w:rsid w:val="00E44E27"/>
    <w:rsid w:val="00E45B73"/>
    <w:rsid w:val="00E51D0B"/>
    <w:rsid w:val="00E8649F"/>
    <w:rsid w:val="00E9506F"/>
    <w:rsid w:val="00EA0342"/>
    <w:rsid w:val="00EF1869"/>
    <w:rsid w:val="00F0333F"/>
    <w:rsid w:val="00F1080D"/>
    <w:rsid w:val="00F24AD4"/>
    <w:rsid w:val="00F3321D"/>
    <w:rsid w:val="00F6339C"/>
    <w:rsid w:val="00F6466B"/>
    <w:rsid w:val="00F6576A"/>
    <w:rsid w:val="00F87FB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21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6D1"/>
    <w:pPr>
      <w:ind w:left="720"/>
      <w:contextualSpacing/>
    </w:pPr>
  </w:style>
  <w:style w:type="paragraph" w:styleId="BalloonText">
    <w:name w:val="Balloon Text"/>
    <w:basedOn w:val="Normal"/>
    <w:link w:val="BalloonTextChar"/>
    <w:uiPriority w:val="99"/>
    <w:semiHidden/>
    <w:unhideWhenUsed/>
    <w:rsid w:val="001662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271"/>
    <w:rPr>
      <w:rFonts w:ascii="Tahoma" w:eastAsia="Calibri" w:hAnsi="Tahoma" w:cs="Tahoma"/>
      <w:sz w:val="16"/>
      <w:szCs w:val="16"/>
    </w:rPr>
  </w:style>
  <w:style w:type="paragraph" w:styleId="Header">
    <w:name w:val="header"/>
    <w:basedOn w:val="Normal"/>
    <w:link w:val="HeaderChar"/>
    <w:uiPriority w:val="99"/>
    <w:unhideWhenUsed/>
    <w:rsid w:val="000D77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0D77D6"/>
    <w:rPr>
      <w:rFonts w:ascii="Calibri" w:eastAsia="Calibri" w:hAnsi="Calibri" w:cs="Times New Roman"/>
    </w:rPr>
  </w:style>
  <w:style w:type="paragraph" w:styleId="Footer">
    <w:name w:val="footer"/>
    <w:basedOn w:val="Normal"/>
    <w:link w:val="FooterChar"/>
    <w:uiPriority w:val="99"/>
    <w:unhideWhenUsed/>
    <w:rsid w:val="000D77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0D77D6"/>
    <w:rPr>
      <w:rFonts w:ascii="Calibri" w:eastAsia="Calibri" w:hAnsi="Calibri" w:cs="Times New Roman"/>
    </w:rPr>
  </w:style>
  <w:style w:type="character" w:styleId="CommentReference">
    <w:name w:val="annotation reference"/>
    <w:basedOn w:val="DefaultParagraphFont"/>
    <w:semiHidden/>
    <w:unhideWhenUsed/>
    <w:rsid w:val="00246AEC"/>
    <w:rPr>
      <w:sz w:val="16"/>
      <w:szCs w:val="16"/>
    </w:rPr>
  </w:style>
  <w:style w:type="paragraph" w:styleId="CommentText">
    <w:name w:val="annotation text"/>
    <w:basedOn w:val="Normal"/>
    <w:link w:val="CommentTextChar"/>
    <w:unhideWhenUsed/>
    <w:rsid w:val="00246AEC"/>
    <w:pPr>
      <w:spacing w:after="0" w:line="240" w:lineRule="auto"/>
    </w:pPr>
    <w:rPr>
      <w:rFonts w:ascii="Arial" w:eastAsia="Times New Roman" w:hAnsi="Arial"/>
      <w:sz w:val="20"/>
      <w:szCs w:val="20"/>
      <w:lang w:val="en-GB"/>
    </w:rPr>
  </w:style>
  <w:style w:type="character" w:customStyle="1" w:styleId="CommentTextChar">
    <w:name w:val="Comment Text Char"/>
    <w:basedOn w:val="DefaultParagraphFont"/>
    <w:link w:val="CommentText"/>
    <w:rsid w:val="00246AEC"/>
    <w:rPr>
      <w:rFonts w:ascii="Arial" w:eastAsia="Times New Roman" w:hAnsi="Arial" w:cs="Times New Roman"/>
      <w:sz w:val="20"/>
      <w:szCs w:val="20"/>
      <w:lang w:val="en-GB"/>
    </w:rPr>
  </w:style>
  <w:style w:type="paragraph" w:styleId="FootnoteText">
    <w:name w:val="footnote text"/>
    <w:basedOn w:val="Normal"/>
    <w:link w:val="FootnoteTextChar"/>
    <w:uiPriority w:val="99"/>
    <w:semiHidden/>
    <w:unhideWhenUsed/>
    <w:rsid w:val="008C5DB5"/>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8C5DB5"/>
    <w:rPr>
      <w:sz w:val="20"/>
      <w:szCs w:val="20"/>
    </w:rPr>
  </w:style>
  <w:style w:type="character" w:styleId="FootnoteReference">
    <w:name w:val="footnote reference"/>
    <w:basedOn w:val="DefaultParagraphFont"/>
    <w:uiPriority w:val="99"/>
    <w:semiHidden/>
    <w:unhideWhenUsed/>
    <w:rsid w:val="008C5DB5"/>
    <w:rPr>
      <w:vertAlign w:val="superscript"/>
    </w:rPr>
  </w:style>
  <w:style w:type="table" w:styleId="TableGrid">
    <w:name w:val="Table Grid"/>
    <w:basedOn w:val="TableNormal"/>
    <w:rsid w:val="008C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21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6D1"/>
    <w:pPr>
      <w:ind w:left="720"/>
      <w:contextualSpacing/>
    </w:pPr>
  </w:style>
  <w:style w:type="paragraph" w:styleId="BalloonText">
    <w:name w:val="Balloon Text"/>
    <w:basedOn w:val="Normal"/>
    <w:link w:val="BalloonTextChar"/>
    <w:uiPriority w:val="99"/>
    <w:semiHidden/>
    <w:unhideWhenUsed/>
    <w:rsid w:val="001662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271"/>
    <w:rPr>
      <w:rFonts w:ascii="Tahoma" w:eastAsia="Calibri" w:hAnsi="Tahoma" w:cs="Tahoma"/>
      <w:sz w:val="16"/>
      <w:szCs w:val="16"/>
    </w:rPr>
  </w:style>
  <w:style w:type="paragraph" w:styleId="Header">
    <w:name w:val="header"/>
    <w:basedOn w:val="Normal"/>
    <w:link w:val="HeaderChar"/>
    <w:uiPriority w:val="99"/>
    <w:unhideWhenUsed/>
    <w:rsid w:val="000D77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0D77D6"/>
    <w:rPr>
      <w:rFonts w:ascii="Calibri" w:eastAsia="Calibri" w:hAnsi="Calibri" w:cs="Times New Roman"/>
    </w:rPr>
  </w:style>
  <w:style w:type="paragraph" w:styleId="Footer">
    <w:name w:val="footer"/>
    <w:basedOn w:val="Normal"/>
    <w:link w:val="FooterChar"/>
    <w:uiPriority w:val="99"/>
    <w:unhideWhenUsed/>
    <w:rsid w:val="000D77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0D77D6"/>
    <w:rPr>
      <w:rFonts w:ascii="Calibri" w:eastAsia="Calibri" w:hAnsi="Calibri" w:cs="Times New Roman"/>
    </w:rPr>
  </w:style>
  <w:style w:type="character" w:styleId="CommentReference">
    <w:name w:val="annotation reference"/>
    <w:basedOn w:val="DefaultParagraphFont"/>
    <w:semiHidden/>
    <w:unhideWhenUsed/>
    <w:rsid w:val="00246AEC"/>
    <w:rPr>
      <w:sz w:val="16"/>
      <w:szCs w:val="16"/>
    </w:rPr>
  </w:style>
  <w:style w:type="paragraph" w:styleId="CommentText">
    <w:name w:val="annotation text"/>
    <w:basedOn w:val="Normal"/>
    <w:link w:val="CommentTextChar"/>
    <w:unhideWhenUsed/>
    <w:rsid w:val="00246AEC"/>
    <w:pPr>
      <w:spacing w:after="0" w:line="240" w:lineRule="auto"/>
    </w:pPr>
    <w:rPr>
      <w:rFonts w:ascii="Arial" w:eastAsia="Times New Roman" w:hAnsi="Arial"/>
      <w:sz w:val="20"/>
      <w:szCs w:val="20"/>
      <w:lang w:val="en-GB"/>
    </w:rPr>
  </w:style>
  <w:style w:type="character" w:customStyle="1" w:styleId="CommentTextChar">
    <w:name w:val="Comment Text Char"/>
    <w:basedOn w:val="DefaultParagraphFont"/>
    <w:link w:val="CommentText"/>
    <w:rsid w:val="00246AEC"/>
    <w:rPr>
      <w:rFonts w:ascii="Arial" w:eastAsia="Times New Roman" w:hAnsi="Arial" w:cs="Times New Roman"/>
      <w:sz w:val="20"/>
      <w:szCs w:val="20"/>
      <w:lang w:val="en-GB"/>
    </w:rPr>
  </w:style>
  <w:style w:type="paragraph" w:styleId="FootnoteText">
    <w:name w:val="footnote text"/>
    <w:basedOn w:val="Normal"/>
    <w:link w:val="FootnoteTextChar"/>
    <w:uiPriority w:val="99"/>
    <w:semiHidden/>
    <w:unhideWhenUsed/>
    <w:rsid w:val="008C5DB5"/>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8C5DB5"/>
    <w:rPr>
      <w:sz w:val="20"/>
      <w:szCs w:val="20"/>
    </w:rPr>
  </w:style>
  <w:style w:type="character" w:styleId="FootnoteReference">
    <w:name w:val="footnote reference"/>
    <w:basedOn w:val="DefaultParagraphFont"/>
    <w:uiPriority w:val="99"/>
    <w:semiHidden/>
    <w:unhideWhenUsed/>
    <w:rsid w:val="008C5DB5"/>
    <w:rPr>
      <w:vertAlign w:val="superscript"/>
    </w:rPr>
  </w:style>
  <w:style w:type="table" w:styleId="TableGrid">
    <w:name w:val="Table Grid"/>
    <w:basedOn w:val="TableNormal"/>
    <w:rsid w:val="008C5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4343">
      <w:bodyDiv w:val="1"/>
      <w:marLeft w:val="0"/>
      <w:marRight w:val="0"/>
      <w:marTop w:val="0"/>
      <w:marBottom w:val="0"/>
      <w:divBdr>
        <w:top w:val="none" w:sz="0" w:space="0" w:color="auto"/>
        <w:left w:val="none" w:sz="0" w:space="0" w:color="auto"/>
        <w:bottom w:val="none" w:sz="0" w:space="0" w:color="auto"/>
        <w:right w:val="none" w:sz="0" w:space="0" w:color="auto"/>
      </w:divBdr>
    </w:div>
    <w:div w:id="647973491">
      <w:bodyDiv w:val="1"/>
      <w:marLeft w:val="0"/>
      <w:marRight w:val="0"/>
      <w:marTop w:val="0"/>
      <w:marBottom w:val="0"/>
      <w:divBdr>
        <w:top w:val="none" w:sz="0" w:space="0" w:color="auto"/>
        <w:left w:val="none" w:sz="0" w:space="0" w:color="auto"/>
        <w:bottom w:val="none" w:sz="0" w:space="0" w:color="auto"/>
        <w:right w:val="none" w:sz="0" w:space="0" w:color="auto"/>
      </w:divBdr>
    </w:div>
    <w:div w:id="1598057881">
      <w:bodyDiv w:val="1"/>
      <w:marLeft w:val="0"/>
      <w:marRight w:val="0"/>
      <w:marTop w:val="0"/>
      <w:marBottom w:val="0"/>
      <w:divBdr>
        <w:top w:val="none" w:sz="0" w:space="0" w:color="auto"/>
        <w:left w:val="none" w:sz="0" w:space="0" w:color="auto"/>
        <w:bottom w:val="none" w:sz="0" w:space="0" w:color="auto"/>
        <w:right w:val="none" w:sz="0" w:space="0" w:color="auto"/>
      </w:divBdr>
    </w:div>
    <w:div w:id="1884096221">
      <w:bodyDiv w:val="1"/>
      <w:marLeft w:val="0"/>
      <w:marRight w:val="0"/>
      <w:marTop w:val="0"/>
      <w:marBottom w:val="0"/>
      <w:divBdr>
        <w:top w:val="none" w:sz="0" w:space="0" w:color="auto"/>
        <w:left w:val="none" w:sz="0" w:space="0" w:color="auto"/>
        <w:bottom w:val="none" w:sz="0" w:space="0" w:color="auto"/>
        <w:right w:val="none" w:sz="0" w:space="0" w:color="auto"/>
      </w:divBdr>
    </w:div>
    <w:div w:id="1954703381">
      <w:bodyDiv w:val="1"/>
      <w:marLeft w:val="0"/>
      <w:marRight w:val="0"/>
      <w:marTop w:val="0"/>
      <w:marBottom w:val="0"/>
      <w:divBdr>
        <w:top w:val="none" w:sz="0" w:space="0" w:color="auto"/>
        <w:left w:val="none" w:sz="0" w:space="0" w:color="auto"/>
        <w:bottom w:val="none" w:sz="0" w:space="0" w:color="auto"/>
        <w:right w:val="none" w:sz="0" w:space="0" w:color="auto"/>
      </w:divBdr>
    </w:div>
    <w:div w:id="195968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0F93B-15E4-4DB6-8743-83052FA25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2637</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Dimitrina Nikolova</dc:creator>
  <cp:lastModifiedBy>AngelchevaT</cp:lastModifiedBy>
  <cp:revision>3</cp:revision>
  <dcterms:created xsi:type="dcterms:W3CDTF">2017-10-24T14:48:00Z</dcterms:created>
  <dcterms:modified xsi:type="dcterms:W3CDTF">2017-10-24T14:48:00Z</dcterms:modified>
</cp:coreProperties>
</file>